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47B" w:rsidRDefault="001B147B" w:rsidP="001B147B">
      <w:pPr>
        <w:rPr>
          <w:b/>
        </w:rPr>
      </w:pPr>
      <w:r>
        <w:rPr>
          <w:b/>
        </w:rPr>
        <w:t xml:space="preserve">Pension Fund Committee </w:t>
      </w:r>
    </w:p>
    <w:p w:rsidR="001B147B" w:rsidRDefault="001B147B" w:rsidP="001B147B">
      <w:r>
        <w:t xml:space="preserve">Meeting to be held on </w:t>
      </w:r>
      <w:r w:rsidR="00403A66">
        <w:t>3</w:t>
      </w:r>
      <w:r w:rsidR="00630CE3">
        <w:t xml:space="preserve">0 November </w:t>
      </w:r>
      <w:r w:rsidR="004D3232">
        <w:t>201</w:t>
      </w:r>
      <w:r w:rsidR="00403A66">
        <w:t>2</w:t>
      </w:r>
    </w:p>
    <w:p w:rsidR="001B147B" w:rsidRDefault="001B147B" w:rsidP="001B147B"/>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tblGrid>
      <w:tr w:rsidR="001B147B">
        <w:tc>
          <w:tcPr>
            <w:tcW w:w="3260" w:type="dxa"/>
          </w:tcPr>
          <w:p w:rsidR="001B147B" w:rsidRDefault="001B147B" w:rsidP="00E51A7E">
            <w:pPr>
              <w:pStyle w:val="BodyText"/>
            </w:pPr>
            <w:r>
              <w:t>Electoral Division affected:</w:t>
            </w:r>
          </w:p>
          <w:p w:rsidR="001B147B" w:rsidRPr="001B147B" w:rsidRDefault="001B147B" w:rsidP="00E51A7E">
            <w:r w:rsidRPr="001B147B">
              <w:t xml:space="preserve">None </w:t>
            </w:r>
          </w:p>
        </w:tc>
      </w:tr>
    </w:tbl>
    <w:p w:rsidR="001B147B" w:rsidRDefault="001B147B" w:rsidP="001B147B">
      <w:pPr>
        <w:rPr>
          <w:u w:val="single"/>
        </w:rPr>
      </w:pPr>
    </w:p>
    <w:p w:rsidR="001B147B" w:rsidRDefault="00C3283A" w:rsidP="001B147B">
      <w:pPr>
        <w:rPr>
          <w:b/>
        </w:rPr>
      </w:pPr>
      <w:r>
        <w:rPr>
          <w:b/>
        </w:rPr>
        <w:t xml:space="preserve">Update on </w:t>
      </w:r>
      <w:r w:rsidR="00555A39" w:rsidRPr="00555A39">
        <w:rPr>
          <w:b/>
        </w:rPr>
        <w:t>L</w:t>
      </w:r>
      <w:r>
        <w:rPr>
          <w:b/>
        </w:rPr>
        <w:t xml:space="preserve">GPS </w:t>
      </w:r>
      <w:r w:rsidR="00EA2ABF">
        <w:rPr>
          <w:b/>
        </w:rPr>
        <w:t xml:space="preserve">2014 </w:t>
      </w:r>
      <w:r>
        <w:rPr>
          <w:b/>
        </w:rPr>
        <w:t xml:space="preserve">and </w:t>
      </w:r>
      <w:r w:rsidR="00764894">
        <w:rPr>
          <w:b/>
        </w:rPr>
        <w:t>t</w:t>
      </w:r>
      <w:r>
        <w:rPr>
          <w:b/>
        </w:rPr>
        <w:t xml:space="preserve">he </w:t>
      </w:r>
      <w:r w:rsidR="00EA2ABF">
        <w:rPr>
          <w:b/>
        </w:rPr>
        <w:t xml:space="preserve">Public Service </w:t>
      </w:r>
      <w:r>
        <w:rPr>
          <w:b/>
        </w:rPr>
        <w:t>Pensions Bill</w:t>
      </w:r>
    </w:p>
    <w:p w:rsidR="001B147B" w:rsidRPr="00BC21A3" w:rsidRDefault="00BC21A3" w:rsidP="001B147B">
      <w:pPr>
        <w:ind w:left="709" w:hanging="709"/>
      </w:pPr>
      <w:r>
        <w:t>(Appendices 'A' and 'B</w:t>
      </w:r>
      <w:r w:rsidR="001C3C28">
        <w:t>'</w:t>
      </w:r>
      <w:r>
        <w:t xml:space="preserve"> refer)</w:t>
      </w:r>
    </w:p>
    <w:p w:rsidR="00BC21A3" w:rsidRDefault="00BC21A3" w:rsidP="001B147B">
      <w:pPr>
        <w:ind w:left="709" w:hanging="709"/>
        <w:rPr>
          <w:b/>
        </w:rPr>
      </w:pPr>
    </w:p>
    <w:p w:rsidR="001B147B" w:rsidRDefault="001B147B" w:rsidP="001B147B">
      <w:r>
        <w:t>Contact for further information:</w:t>
      </w:r>
    </w:p>
    <w:p w:rsidR="00403A66" w:rsidRDefault="001B147B" w:rsidP="001B147B">
      <w:r>
        <w:t xml:space="preserve">Diane Lister, 01772 534827, </w:t>
      </w:r>
      <w:r w:rsidR="0091605E">
        <w:t>County Treasurer</w:t>
      </w:r>
      <w:r w:rsidR="00E94381">
        <w:t>'</w:t>
      </w:r>
      <w:r w:rsidR="0091605E">
        <w:t>s</w:t>
      </w:r>
      <w:r w:rsidR="00E94381">
        <w:t xml:space="preserve"> Department</w:t>
      </w:r>
    </w:p>
    <w:p w:rsidR="00E94381" w:rsidRDefault="00E90EB9" w:rsidP="001B147B">
      <w:hyperlink r:id="rId8" w:history="1">
        <w:r w:rsidR="00E94381" w:rsidRPr="00EE318A">
          <w:rPr>
            <w:rStyle w:val="Hyperlink"/>
          </w:rPr>
          <w:t>diane.lister@lancashire.gov.uk</w:t>
        </w:r>
      </w:hyperlink>
    </w:p>
    <w:p w:rsidR="001B147B" w:rsidRDefault="001B147B" w:rsidP="001B14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1B147B">
        <w:tc>
          <w:tcPr>
            <w:tcW w:w="9180" w:type="dxa"/>
          </w:tcPr>
          <w:p w:rsidR="001B147B" w:rsidRDefault="001B147B" w:rsidP="00E51A7E">
            <w:pPr>
              <w:pStyle w:val="Header"/>
            </w:pPr>
          </w:p>
          <w:p w:rsidR="001B147B" w:rsidRDefault="001B147B" w:rsidP="00E51A7E">
            <w:pPr>
              <w:pStyle w:val="Heading6"/>
              <w:rPr>
                <w:rFonts w:ascii="Arial" w:hAnsi="Arial"/>
              </w:rPr>
            </w:pPr>
            <w:r>
              <w:rPr>
                <w:rFonts w:ascii="Arial" w:hAnsi="Arial"/>
              </w:rPr>
              <w:t>Executive Summary</w:t>
            </w:r>
          </w:p>
          <w:p w:rsidR="00DE2E7D" w:rsidRDefault="00DE2E7D" w:rsidP="00DE2E7D">
            <w:pPr>
              <w:rPr>
                <w:rFonts w:cs="Arial"/>
                <w:color w:val="000000"/>
                <w:szCs w:val="24"/>
              </w:rPr>
            </w:pPr>
          </w:p>
          <w:p w:rsidR="00116952" w:rsidRPr="00C3283A" w:rsidRDefault="00116952" w:rsidP="00C3283A">
            <w:pPr>
              <w:rPr>
                <w:rFonts w:cs="Arial"/>
              </w:rPr>
            </w:pPr>
            <w:r w:rsidRPr="00C3283A">
              <w:rPr>
                <w:rFonts w:cs="Arial"/>
              </w:rPr>
              <w:t xml:space="preserve">This report updates </w:t>
            </w:r>
            <w:r w:rsidR="00C3283A">
              <w:rPr>
                <w:rFonts w:cs="Arial"/>
              </w:rPr>
              <w:t xml:space="preserve">the Committee on </w:t>
            </w:r>
            <w:r w:rsidRPr="00C3283A">
              <w:rPr>
                <w:rFonts w:cs="Arial"/>
              </w:rPr>
              <w:t>the progress of the L</w:t>
            </w:r>
            <w:r w:rsidR="00012AA7">
              <w:rPr>
                <w:rFonts w:cs="Arial"/>
              </w:rPr>
              <w:t>ocal Governm</w:t>
            </w:r>
            <w:r w:rsidR="00BC21A3">
              <w:rPr>
                <w:rFonts w:cs="Arial"/>
              </w:rPr>
              <w:t>en</w:t>
            </w:r>
            <w:r w:rsidR="00012AA7">
              <w:rPr>
                <w:rFonts w:cs="Arial"/>
              </w:rPr>
              <w:t>t Pension Scheme (L</w:t>
            </w:r>
            <w:r w:rsidRPr="00C3283A">
              <w:rPr>
                <w:rFonts w:cs="Arial"/>
              </w:rPr>
              <w:t>GPS</w:t>
            </w:r>
            <w:r w:rsidR="00012AA7">
              <w:rPr>
                <w:rFonts w:cs="Arial"/>
              </w:rPr>
              <w:t>)</w:t>
            </w:r>
            <w:r w:rsidRPr="00C3283A">
              <w:rPr>
                <w:rFonts w:cs="Arial"/>
              </w:rPr>
              <w:t xml:space="preserve"> </w:t>
            </w:r>
            <w:r w:rsidR="00764894">
              <w:rPr>
                <w:rFonts w:cs="Arial"/>
              </w:rPr>
              <w:t xml:space="preserve">2014 </w:t>
            </w:r>
            <w:r w:rsidR="00185ED2">
              <w:rPr>
                <w:rFonts w:cs="Arial"/>
              </w:rPr>
              <w:t xml:space="preserve">proposals </w:t>
            </w:r>
            <w:r w:rsidR="00C3283A" w:rsidRPr="00C3283A">
              <w:rPr>
                <w:rFonts w:cs="Arial"/>
              </w:rPr>
              <w:t xml:space="preserve">and the </w:t>
            </w:r>
            <w:r w:rsidRPr="00C3283A">
              <w:rPr>
                <w:rFonts w:cs="Arial"/>
              </w:rPr>
              <w:t xml:space="preserve">statutory consultation framework relating to draft regulations.   </w:t>
            </w:r>
          </w:p>
          <w:p w:rsidR="00116952" w:rsidRPr="00723008" w:rsidRDefault="00116952" w:rsidP="00C3283A">
            <w:pPr>
              <w:rPr>
                <w:rFonts w:cs="Arial"/>
              </w:rPr>
            </w:pPr>
          </w:p>
          <w:p w:rsidR="00116952" w:rsidRPr="00C3283A" w:rsidRDefault="00C3283A" w:rsidP="00C3283A">
            <w:pPr>
              <w:rPr>
                <w:rFonts w:cs="Arial"/>
              </w:rPr>
            </w:pPr>
            <w:r>
              <w:rPr>
                <w:rFonts w:cs="Arial"/>
              </w:rPr>
              <w:t>Th</w:t>
            </w:r>
            <w:r w:rsidR="00185ED2">
              <w:rPr>
                <w:rFonts w:cs="Arial"/>
              </w:rPr>
              <w:t xml:space="preserve">is </w:t>
            </w:r>
            <w:r>
              <w:rPr>
                <w:rFonts w:cs="Arial"/>
              </w:rPr>
              <w:t>report</w:t>
            </w:r>
            <w:r w:rsidR="00116952" w:rsidRPr="00C3283A">
              <w:rPr>
                <w:rFonts w:cs="Arial"/>
              </w:rPr>
              <w:t xml:space="preserve"> also covers the key provisions of the Public Service Pensions Bill and its impact on the </w:t>
            </w:r>
            <w:r w:rsidR="00185ED2">
              <w:rPr>
                <w:rFonts w:cs="Arial"/>
              </w:rPr>
              <w:t xml:space="preserve">LGPS </w:t>
            </w:r>
            <w:r w:rsidR="00764894">
              <w:rPr>
                <w:rFonts w:cs="Arial"/>
              </w:rPr>
              <w:t>2014.</w:t>
            </w:r>
          </w:p>
          <w:p w:rsidR="00116952" w:rsidRPr="00723008" w:rsidRDefault="00116952" w:rsidP="00C3283A">
            <w:pPr>
              <w:rPr>
                <w:rFonts w:cs="Arial"/>
              </w:rPr>
            </w:pPr>
          </w:p>
          <w:p w:rsidR="001B147B" w:rsidRDefault="001B147B" w:rsidP="00E51A7E">
            <w:pPr>
              <w:pStyle w:val="Heading5"/>
              <w:rPr>
                <w:rFonts w:ascii="Arial" w:hAnsi="Arial"/>
                <w:b w:val="0"/>
                <w:u w:val="none"/>
              </w:rPr>
            </w:pPr>
            <w:r>
              <w:rPr>
                <w:rFonts w:ascii="Arial" w:hAnsi="Arial"/>
                <w:u w:val="none"/>
              </w:rPr>
              <w:t>Recommendation</w:t>
            </w:r>
          </w:p>
          <w:p w:rsidR="001B147B" w:rsidRDefault="001B147B" w:rsidP="00E51A7E"/>
          <w:p w:rsidR="001B147B" w:rsidRDefault="00C203EF" w:rsidP="008B3E81">
            <w:pPr>
              <w:pStyle w:val="ListParagraph"/>
              <w:ind w:left="0"/>
              <w:rPr>
                <w:rFonts w:ascii="Arial" w:hAnsi="Arial" w:cs="Arial"/>
              </w:rPr>
            </w:pPr>
            <w:r>
              <w:rPr>
                <w:rFonts w:ascii="Arial" w:hAnsi="Arial" w:cs="Arial"/>
              </w:rPr>
              <w:t>T</w:t>
            </w:r>
            <w:r w:rsidR="00B11F05">
              <w:rPr>
                <w:rFonts w:ascii="Arial" w:hAnsi="Arial" w:cs="Arial"/>
              </w:rPr>
              <w:t xml:space="preserve">he Committee </w:t>
            </w:r>
            <w:r w:rsidR="00555A39">
              <w:rPr>
                <w:rFonts w:ascii="Arial" w:hAnsi="Arial" w:cs="Arial"/>
              </w:rPr>
              <w:t xml:space="preserve">is asked to note </w:t>
            </w:r>
            <w:r w:rsidR="008B3E81">
              <w:rPr>
                <w:rFonts w:ascii="Arial" w:hAnsi="Arial" w:cs="Arial"/>
              </w:rPr>
              <w:t>th</w:t>
            </w:r>
            <w:r w:rsidR="00555A39">
              <w:rPr>
                <w:rFonts w:ascii="Arial" w:hAnsi="Arial" w:cs="Arial"/>
              </w:rPr>
              <w:t>e</w:t>
            </w:r>
            <w:r w:rsidR="008B3E81">
              <w:rPr>
                <w:rFonts w:ascii="Arial" w:hAnsi="Arial" w:cs="Arial"/>
              </w:rPr>
              <w:t xml:space="preserve"> report</w:t>
            </w:r>
            <w:r w:rsidR="00E06B4B">
              <w:rPr>
                <w:rFonts w:ascii="Arial" w:hAnsi="Arial" w:cs="Arial"/>
              </w:rPr>
              <w:t xml:space="preserve">. </w:t>
            </w:r>
          </w:p>
          <w:p w:rsidR="008B3E81" w:rsidRDefault="008B3E81" w:rsidP="008B3E81">
            <w:pPr>
              <w:pStyle w:val="ListParagraph"/>
              <w:ind w:left="0"/>
            </w:pPr>
          </w:p>
        </w:tc>
      </w:tr>
    </w:tbl>
    <w:p w:rsidR="001B147B" w:rsidRDefault="001B147B" w:rsidP="001B147B">
      <w:pPr>
        <w:pStyle w:val="Header"/>
      </w:pPr>
    </w:p>
    <w:p w:rsidR="00555A39" w:rsidRDefault="00555A39" w:rsidP="001B147B">
      <w:pPr>
        <w:pStyle w:val="Header"/>
      </w:pPr>
    </w:p>
    <w:p w:rsidR="001B147B" w:rsidRDefault="001B147B" w:rsidP="00555A39">
      <w:pPr>
        <w:rPr>
          <w:b/>
        </w:rPr>
      </w:pPr>
      <w:r>
        <w:rPr>
          <w:b/>
        </w:rPr>
        <w:t xml:space="preserve">Background </w:t>
      </w:r>
      <w:r w:rsidR="00555A39">
        <w:rPr>
          <w:b/>
        </w:rPr>
        <w:t>and</w:t>
      </w:r>
      <w:r w:rsidR="00F52C92">
        <w:rPr>
          <w:b/>
        </w:rPr>
        <w:t xml:space="preserve"> Advice </w:t>
      </w:r>
    </w:p>
    <w:p w:rsidR="00555A39" w:rsidRDefault="00555A39" w:rsidP="00880446">
      <w:pPr>
        <w:jc w:val="both"/>
        <w:rPr>
          <w:szCs w:val="24"/>
        </w:rPr>
      </w:pPr>
    </w:p>
    <w:p w:rsidR="00834E25" w:rsidRPr="00BE5031" w:rsidRDefault="00BE5031" w:rsidP="00185ED2">
      <w:pPr>
        <w:autoSpaceDE w:val="0"/>
        <w:autoSpaceDN w:val="0"/>
        <w:adjustRightInd w:val="0"/>
        <w:jc w:val="both"/>
        <w:rPr>
          <w:rFonts w:cs="Arial"/>
          <w:color w:val="000000"/>
          <w:szCs w:val="24"/>
        </w:rPr>
      </w:pPr>
      <w:r w:rsidRPr="00BE5031">
        <w:rPr>
          <w:rFonts w:cs="Arial"/>
          <w:color w:val="000000"/>
          <w:szCs w:val="24"/>
        </w:rPr>
        <w:t>(</w:t>
      </w:r>
      <w:proofErr w:type="spellStart"/>
      <w:r w:rsidRPr="00BE5031">
        <w:rPr>
          <w:rFonts w:cs="Arial"/>
          <w:color w:val="000000"/>
          <w:szCs w:val="24"/>
        </w:rPr>
        <w:t>i</w:t>
      </w:r>
      <w:proofErr w:type="spellEnd"/>
      <w:r w:rsidRPr="00BE5031">
        <w:rPr>
          <w:rFonts w:cs="Arial"/>
          <w:color w:val="000000"/>
          <w:szCs w:val="24"/>
        </w:rPr>
        <w:t>)</w:t>
      </w:r>
      <w:r w:rsidRPr="00BE5031">
        <w:rPr>
          <w:rFonts w:cs="Arial"/>
          <w:color w:val="000000"/>
          <w:szCs w:val="24"/>
        </w:rPr>
        <w:tab/>
      </w:r>
      <w:r w:rsidR="00834E25" w:rsidRPr="00BE5031">
        <w:rPr>
          <w:rFonts w:cs="Arial"/>
          <w:color w:val="000000"/>
          <w:szCs w:val="24"/>
        </w:rPr>
        <w:t>Update on LGPS 2014</w:t>
      </w:r>
    </w:p>
    <w:p w:rsidR="00834E25" w:rsidRDefault="00834E25" w:rsidP="00185ED2">
      <w:pPr>
        <w:autoSpaceDE w:val="0"/>
        <w:autoSpaceDN w:val="0"/>
        <w:adjustRightInd w:val="0"/>
        <w:jc w:val="both"/>
        <w:rPr>
          <w:rFonts w:cs="Arial"/>
          <w:color w:val="000000"/>
          <w:szCs w:val="24"/>
        </w:rPr>
      </w:pPr>
    </w:p>
    <w:p w:rsidR="00AC19C7" w:rsidRDefault="00AC19C7" w:rsidP="00185ED2">
      <w:pPr>
        <w:autoSpaceDE w:val="0"/>
        <w:autoSpaceDN w:val="0"/>
        <w:adjustRightInd w:val="0"/>
        <w:jc w:val="both"/>
        <w:rPr>
          <w:rFonts w:cs="Arial"/>
          <w:color w:val="000000"/>
          <w:szCs w:val="24"/>
        </w:rPr>
      </w:pPr>
      <w:r>
        <w:rPr>
          <w:rFonts w:cs="Arial"/>
          <w:color w:val="000000"/>
          <w:szCs w:val="24"/>
        </w:rPr>
        <w:t>A joint statement</w:t>
      </w:r>
      <w:r w:rsidR="00BC21A3">
        <w:rPr>
          <w:rFonts w:cs="Arial"/>
          <w:color w:val="000000"/>
          <w:szCs w:val="24"/>
        </w:rPr>
        <w:t xml:space="preserve"> </w:t>
      </w:r>
      <w:r>
        <w:rPr>
          <w:rFonts w:cs="Arial"/>
          <w:color w:val="000000"/>
          <w:szCs w:val="24"/>
        </w:rPr>
        <w:t xml:space="preserve">has been issued by the </w:t>
      </w:r>
      <w:r w:rsidR="008703F2">
        <w:rPr>
          <w:rFonts w:cs="Arial"/>
          <w:color w:val="000000"/>
          <w:szCs w:val="24"/>
        </w:rPr>
        <w:t xml:space="preserve">LGPS </w:t>
      </w:r>
      <w:r>
        <w:rPr>
          <w:rFonts w:cs="Arial"/>
          <w:color w:val="000000"/>
          <w:szCs w:val="24"/>
        </w:rPr>
        <w:t>2014</w:t>
      </w:r>
      <w:r w:rsidR="008703F2">
        <w:rPr>
          <w:rFonts w:cs="Arial"/>
          <w:color w:val="000000"/>
          <w:szCs w:val="24"/>
        </w:rPr>
        <w:t xml:space="preserve"> Project Board to inform stakeholders of progress in respect of the reform of the LGPS.</w:t>
      </w:r>
      <w:r>
        <w:rPr>
          <w:rFonts w:cs="Arial"/>
          <w:color w:val="000000"/>
          <w:szCs w:val="24"/>
        </w:rPr>
        <w:t xml:space="preserve"> </w:t>
      </w:r>
      <w:r w:rsidR="00BC21A3">
        <w:rPr>
          <w:rFonts w:cs="Arial"/>
          <w:color w:val="000000"/>
          <w:szCs w:val="24"/>
        </w:rPr>
        <w:t>The update is attached at Appendix 'A'.</w:t>
      </w:r>
    </w:p>
    <w:p w:rsidR="00BC21A3" w:rsidRDefault="00BC21A3" w:rsidP="00185ED2">
      <w:pPr>
        <w:autoSpaceDE w:val="0"/>
        <w:autoSpaceDN w:val="0"/>
        <w:adjustRightInd w:val="0"/>
        <w:jc w:val="both"/>
        <w:rPr>
          <w:rFonts w:cs="Arial"/>
          <w:color w:val="000000"/>
          <w:szCs w:val="24"/>
        </w:rPr>
      </w:pPr>
    </w:p>
    <w:p w:rsidR="00185ED2" w:rsidRPr="00185ED2" w:rsidRDefault="00185ED2" w:rsidP="00185ED2">
      <w:pPr>
        <w:autoSpaceDE w:val="0"/>
        <w:autoSpaceDN w:val="0"/>
        <w:adjustRightInd w:val="0"/>
        <w:jc w:val="both"/>
        <w:rPr>
          <w:rFonts w:cs="Arial"/>
          <w:color w:val="000000"/>
          <w:szCs w:val="24"/>
        </w:rPr>
      </w:pPr>
      <w:r w:rsidRPr="00185ED2">
        <w:rPr>
          <w:rFonts w:cs="Arial"/>
          <w:color w:val="000000"/>
          <w:szCs w:val="24"/>
        </w:rPr>
        <w:t>The proposals on the 2014 LGPS scheme design (Work</w:t>
      </w:r>
      <w:r w:rsidR="00AC19C7">
        <w:rPr>
          <w:rFonts w:cs="Arial"/>
          <w:color w:val="000000"/>
          <w:szCs w:val="24"/>
        </w:rPr>
        <w:t xml:space="preserve"> </w:t>
      </w:r>
      <w:r w:rsidRPr="00185ED2">
        <w:rPr>
          <w:rFonts w:cs="Arial"/>
          <w:color w:val="000000"/>
          <w:szCs w:val="24"/>
        </w:rPr>
        <w:t>stream 1)</w:t>
      </w:r>
      <w:r>
        <w:rPr>
          <w:rFonts w:cs="Arial"/>
          <w:color w:val="000000"/>
          <w:szCs w:val="24"/>
        </w:rPr>
        <w:t>,</w:t>
      </w:r>
      <w:r w:rsidRPr="00185ED2">
        <w:rPr>
          <w:rFonts w:cs="Arial"/>
          <w:color w:val="000000"/>
          <w:szCs w:val="24"/>
        </w:rPr>
        <w:t xml:space="preserve"> as jointly agreed by the Local Government Association (LGA) and trade unions</w:t>
      </w:r>
      <w:r>
        <w:rPr>
          <w:rFonts w:cs="Arial"/>
          <w:color w:val="000000"/>
          <w:szCs w:val="24"/>
        </w:rPr>
        <w:t>,</w:t>
      </w:r>
      <w:r w:rsidRPr="00185ED2">
        <w:rPr>
          <w:rFonts w:cs="Arial"/>
          <w:color w:val="000000"/>
          <w:szCs w:val="24"/>
        </w:rPr>
        <w:t xml:space="preserve"> were endorsed by employers and members in a consultation exercise undertaken during the summer. </w:t>
      </w:r>
    </w:p>
    <w:p w:rsidR="00185ED2" w:rsidRPr="00185ED2" w:rsidRDefault="00185ED2" w:rsidP="00185ED2">
      <w:pPr>
        <w:autoSpaceDE w:val="0"/>
        <w:autoSpaceDN w:val="0"/>
        <w:adjustRightInd w:val="0"/>
        <w:jc w:val="both"/>
        <w:rPr>
          <w:rFonts w:cs="Arial"/>
          <w:color w:val="000000"/>
          <w:szCs w:val="24"/>
        </w:rPr>
      </w:pPr>
    </w:p>
    <w:p w:rsidR="00185ED2" w:rsidRPr="002B6D41" w:rsidRDefault="00185ED2" w:rsidP="002B6D41">
      <w:pPr>
        <w:pStyle w:val="PlainText"/>
        <w:rPr>
          <w:rFonts w:ascii="Arial" w:hAnsi="Arial" w:cs="Arial"/>
          <w:color w:val="000000"/>
          <w:sz w:val="24"/>
          <w:szCs w:val="24"/>
        </w:rPr>
      </w:pPr>
      <w:r w:rsidRPr="002B6D41">
        <w:rPr>
          <w:rFonts w:ascii="Arial" w:hAnsi="Arial" w:cs="Arial"/>
          <w:color w:val="000000"/>
          <w:sz w:val="24"/>
          <w:szCs w:val="24"/>
        </w:rPr>
        <w:t>Draft regulations were expected to form the basis of a statutory consultation in the autumn. However the work involved in developing the details required for regulations has taken longer than initially envisaged and draft regulations are now expected before the end of the year</w:t>
      </w:r>
      <w:r w:rsidR="002B6D41" w:rsidRPr="002B6D41">
        <w:rPr>
          <w:rFonts w:ascii="Arial" w:hAnsi="Arial" w:cs="Arial"/>
          <w:sz w:val="24"/>
          <w:szCs w:val="24"/>
        </w:rPr>
        <w:t xml:space="preserve"> with consultation then taking place early in 2013. </w:t>
      </w:r>
    </w:p>
    <w:p w:rsidR="00185ED2" w:rsidRDefault="00185ED2" w:rsidP="00185ED2">
      <w:pPr>
        <w:autoSpaceDE w:val="0"/>
        <w:autoSpaceDN w:val="0"/>
        <w:adjustRightInd w:val="0"/>
        <w:jc w:val="both"/>
        <w:rPr>
          <w:rFonts w:cs="Arial"/>
          <w:color w:val="000000"/>
          <w:sz w:val="23"/>
          <w:szCs w:val="23"/>
        </w:rPr>
      </w:pPr>
    </w:p>
    <w:p w:rsidR="00A30FEC" w:rsidRDefault="00A30FEC" w:rsidP="00185ED2">
      <w:pPr>
        <w:jc w:val="both"/>
        <w:rPr>
          <w:rFonts w:cs="Arial"/>
        </w:rPr>
        <w:sectPr w:rsidR="00A30FEC" w:rsidSect="00555A39">
          <w:footerReference w:type="default" r:id="rId9"/>
          <w:pgSz w:w="11906" w:h="16838"/>
          <w:pgMar w:top="1440" w:right="1440" w:bottom="1440" w:left="1440" w:header="708" w:footer="708" w:gutter="0"/>
          <w:cols w:space="708"/>
          <w:docGrid w:linePitch="360"/>
        </w:sectPr>
      </w:pPr>
    </w:p>
    <w:p w:rsidR="00185ED2" w:rsidRDefault="00185ED2" w:rsidP="00185ED2">
      <w:pPr>
        <w:jc w:val="both"/>
        <w:rPr>
          <w:rFonts w:cs="Arial"/>
        </w:rPr>
      </w:pPr>
      <w:r>
        <w:rPr>
          <w:rFonts w:cs="Arial"/>
        </w:rPr>
        <w:lastRenderedPageBreak/>
        <w:t xml:space="preserve">The delay does not change the basis </w:t>
      </w:r>
      <w:r w:rsidR="008703F2">
        <w:rPr>
          <w:rFonts w:cs="Arial"/>
        </w:rPr>
        <w:t xml:space="preserve">of the </w:t>
      </w:r>
      <w:r>
        <w:rPr>
          <w:rFonts w:cs="Arial"/>
        </w:rPr>
        <w:t>LGPS</w:t>
      </w:r>
      <w:r w:rsidR="008703F2">
        <w:rPr>
          <w:rFonts w:cs="Arial"/>
        </w:rPr>
        <w:t xml:space="preserve"> 2014</w:t>
      </w:r>
      <w:r>
        <w:rPr>
          <w:rFonts w:cs="Arial"/>
        </w:rPr>
        <w:t xml:space="preserve"> proposals on Scheme Design</w:t>
      </w:r>
      <w:r w:rsidR="002A1B44">
        <w:rPr>
          <w:rFonts w:cs="Arial"/>
        </w:rPr>
        <w:t>.</w:t>
      </w:r>
      <w:r>
        <w:rPr>
          <w:rFonts w:cs="Arial"/>
        </w:rPr>
        <w:t xml:space="preserve"> </w:t>
      </w:r>
      <w:r w:rsidR="00BC21A3">
        <w:rPr>
          <w:rFonts w:cs="Arial"/>
        </w:rPr>
        <w:t xml:space="preserve">Details of the </w:t>
      </w:r>
      <w:r w:rsidR="008703F2">
        <w:rPr>
          <w:rFonts w:cs="Arial"/>
        </w:rPr>
        <w:t xml:space="preserve">proposals </w:t>
      </w:r>
      <w:r w:rsidR="00BC21A3">
        <w:rPr>
          <w:rFonts w:cs="Arial"/>
        </w:rPr>
        <w:t>are attached at Appendix 'B'.</w:t>
      </w:r>
    </w:p>
    <w:p w:rsidR="002B6D41" w:rsidRDefault="002B6D41" w:rsidP="00185ED2">
      <w:pPr>
        <w:jc w:val="both"/>
        <w:rPr>
          <w:rFonts w:cs="Arial"/>
        </w:rPr>
      </w:pPr>
    </w:p>
    <w:p w:rsidR="00AC19C7" w:rsidRDefault="00AC19C7" w:rsidP="00AC19C7">
      <w:pPr>
        <w:autoSpaceDE w:val="0"/>
        <w:autoSpaceDN w:val="0"/>
        <w:adjustRightInd w:val="0"/>
        <w:jc w:val="both"/>
        <w:rPr>
          <w:rFonts w:cs="Arial"/>
          <w:color w:val="000000"/>
          <w:szCs w:val="24"/>
        </w:rPr>
      </w:pPr>
      <w:r>
        <w:rPr>
          <w:rFonts w:cs="Arial"/>
          <w:color w:val="000000"/>
          <w:szCs w:val="24"/>
        </w:rPr>
        <w:t xml:space="preserve">In respect of Scheme governance and cost management (Work stream 2), </w:t>
      </w:r>
      <w:r w:rsidR="002000D2">
        <w:rPr>
          <w:rFonts w:cs="Arial"/>
          <w:color w:val="000000"/>
          <w:szCs w:val="24"/>
        </w:rPr>
        <w:t xml:space="preserve">the </w:t>
      </w:r>
      <w:r w:rsidRPr="00AC19C7">
        <w:rPr>
          <w:rFonts w:cs="Arial"/>
          <w:color w:val="000000"/>
          <w:szCs w:val="24"/>
        </w:rPr>
        <w:t xml:space="preserve">LGA and trade unions </w:t>
      </w:r>
      <w:r w:rsidR="00951537">
        <w:rPr>
          <w:rFonts w:cs="Arial"/>
          <w:color w:val="000000"/>
          <w:szCs w:val="24"/>
        </w:rPr>
        <w:t xml:space="preserve">have </w:t>
      </w:r>
      <w:r w:rsidRPr="00AC19C7">
        <w:rPr>
          <w:rFonts w:cs="Arial"/>
          <w:color w:val="000000"/>
          <w:szCs w:val="24"/>
        </w:rPr>
        <w:t>reached agreement on</w:t>
      </w:r>
      <w:r w:rsidR="000177C6">
        <w:rPr>
          <w:rFonts w:cs="Arial"/>
          <w:color w:val="000000"/>
          <w:szCs w:val="24"/>
        </w:rPr>
        <w:t xml:space="preserve"> </w:t>
      </w:r>
      <w:r w:rsidRPr="00AC19C7">
        <w:rPr>
          <w:rFonts w:cs="Arial"/>
          <w:color w:val="000000"/>
          <w:szCs w:val="24"/>
        </w:rPr>
        <w:t xml:space="preserve">a set of proposals covering the future governance and cost management of the scheme. </w:t>
      </w:r>
    </w:p>
    <w:p w:rsidR="002A1B44" w:rsidRDefault="002A1B44" w:rsidP="00AC19C7">
      <w:pPr>
        <w:autoSpaceDE w:val="0"/>
        <w:autoSpaceDN w:val="0"/>
        <w:adjustRightInd w:val="0"/>
        <w:jc w:val="both"/>
        <w:rPr>
          <w:rFonts w:cs="Arial"/>
          <w:color w:val="000000"/>
          <w:szCs w:val="24"/>
        </w:rPr>
      </w:pPr>
    </w:p>
    <w:p w:rsidR="00AC19C7" w:rsidRDefault="00AC19C7" w:rsidP="00AC19C7">
      <w:pPr>
        <w:autoSpaceDE w:val="0"/>
        <w:autoSpaceDN w:val="0"/>
        <w:adjustRightInd w:val="0"/>
        <w:jc w:val="both"/>
        <w:rPr>
          <w:rFonts w:cs="Arial"/>
          <w:color w:val="000000"/>
          <w:szCs w:val="24"/>
        </w:rPr>
      </w:pPr>
      <w:r>
        <w:rPr>
          <w:rFonts w:cs="Arial"/>
          <w:color w:val="000000"/>
          <w:szCs w:val="24"/>
        </w:rPr>
        <w:t xml:space="preserve">However, </w:t>
      </w:r>
      <w:r w:rsidR="00C04208">
        <w:rPr>
          <w:rFonts w:cs="Arial"/>
          <w:color w:val="000000"/>
          <w:szCs w:val="24"/>
        </w:rPr>
        <w:t xml:space="preserve">despite </w:t>
      </w:r>
      <w:r w:rsidRPr="00AC19C7">
        <w:rPr>
          <w:rFonts w:cs="Arial"/>
          <w:color w:val="000000"/>
          <w:szCs w:val="24"/>
        </w:rPr>
        <w:t>detailed discussions with the government on these proposals</w:t>
      </w:r>
      <w:r w:rsidR="00C04208">
        <w:rPr>
          <w:rFonts w:cs="Arial"/>
          <w:color w:val="000000"/>
          <w:szCs w:val="24"/>
        </w:rPr>
        <w:t>,</w:t>
      </w:r>
      <w:r w:rsidRPr="00AC19C7">
        <w:rPr>
          <w:rFonts w:cs="Arial"/>
          <w:color w:val="000000"/>
          <w:szCs w:val="24"/>
        </w:rPr>
        <w:t xml:space="preserve"> final sign off has not yet been reached. </w:t>
      </w:r>
      <w:r w:rsidR="00C04208">
        <w:rPr>
          <w:rFonts w:cs="Arial"/>
          <w:color w:val="000000"/>
          <w:szCs w:val="24"/>
        </w:rPr>
        <w:t>The essential elements of these proposals include governance, transparency and future cost management of the Scheme</w:t>
      </w:r>
      <w:r w:rsidRPr="00AC19C7">
        <w:rPr>
          <w:rFonts w:cs="Arial"/>
          <w:color w:val="000000"/>
          <w:szCs w:val="24"/>
        </w:rPr>
        <w:t xml:space="preserve">. </w:t>
      </w:r>
    </w:p>
    <w:p w:rsidR="00C04208" w:rsidRDefault="00C04208" w:rsidP="00AC19C7">
      <w:pPr>
        <w:autoSpaceDE w:val="0"/>
        <w:autoSpaceDN w:val="0"/>
        <w:adjustRightInd w:val="0"/>
        <w:jc w:val="both"/>
        <w:rPr>
          <w:rFonts w:cs="Arial"/>
          <w:color w:val="000000"/>
          <w:szCs w:val="24"/>
        </w:rPr>
      </w:pPr>
    </w:p>
    <w:p w:rsidR="00C04208" w:rsidRPr="00AC19C7" w:rsidRDefault="00C04208" w:rsidP="00AC19C7">
      <w:pPr>
        <w:autoSpaceDE w:val="0"/>
        <w:autoSpaceDN w:val="0"/>
        <w:adjustRightInd w:val="0"/>
        <w:jc w:val="both"/>
        <w:rPr>
          <w:rFonts w:cs="Arial"/>
          <w:color w:val="000000"/>
          <w:szCs w:val="24"/>
        </w:rPr>
      </w:pPr>
      <w:r>
        <w:rPr>
          <w:rFonts w:cs="Arial"/>
          <w:color w:val="000000"/>
          <w:szCs w:val="24"/>
        </w:rPr>
        <w:t>Final regulations are still expected during 2013 in order that Scheme Actuar</w:t>
      </w:r>
      <w:r w:rsidR="00EA2ABF">
        <w:rPr>
          <w:rFonts w:cs="Arial"/>
          <w:color w:val="000000"/>
          <w:szCs w:val="24"/>
        </w:rPr>
        <w:t>ies</w:t>
      </w:r>
      <w:r>
        <w:rPr>
          <w:rFonts w:cs="Arial"/>
          <w:color w:val="000000"/>
          <w:szCs w:val="24"/>
        </w:rPr>
        <w:t xml:space="preserve"> </w:t>
      </w:r>
      <w:r w:rsidR="00D573C7">
        <w:rPr>
          <w:rFonts w:cs="Arial"/>
          <w:color w:val="000000"/>
          <w:szCs w:val="24"/>
        </w:rPr>
        <w:t>can</w:t>
      </w:r>
      <w:r>
        <w:rPr>
          <w:rFonts w:cs="Arial"/>
          <w:color w:val="000000"/>
          <w:szCs w:val="24"/>
        </w:rPr>
        <w:t xml:space="preserve"> take account of expected cost savings as part of the 2013 </w:t>
      </w:r>
      <w:r w:rsidR="00D573C7">
        <w:rPr>
          <w:rFonts w:cs="Arial"/>
          <w:color w:val="000000"/>
          <w:szCs w:val="24"/>
        </w:rPr>
        <w:t xml:space="preserve">round of formal triennial </w:t>
      </w:r>
      <w:r>
        <w:rPr>
          <w:rFonts w:cs="Arial"/>
          <w:color w:val="000000"/>
          <w:szCs w:val="24"/>
        </w:rPr>
        <w:t xml:space="preserve">LGPS </w:t>
      </w:r>
      <w:r w:rsidR="00D573C7">
        <w:rPr>
          <w:rFonts w:cs="Arial"/>
          <w:color w:val="000000"/>
          <w:szCs w:val="24"/>
        </w:rPr>
        <w:t xml:space="preserve">Valuations. </w:t>
      </w:r>
      <w:r>
        <w:rPr>
          <w:rFonts w:cs="Arial"/>
          <w:color w:val="000000"/>
          <w:szCs w:val="24"/>
        </w:rPr>
        <w:t xml:space="preserve"> </w:t>
      </w:r>
      <w:r w:rsidR="00834E25">
        <w:rPr>
          <w:rFonts w:cs="Arial"/>
          <w:color w:val="000000"/>
          <w:szCs w:val="24"/>
        </w:rPr>
        <w:t xml:space="preserve"> </w:t>
      </w:r>
    </w:p>
    <w:p w:rsidR="00AC19C7" w:rsidRDefault="00AC19C7" w:rsidP="00880446">
      <w:pPr>
        <w:tabs>
          <w:tab w:val="num" w:pos="720"/>
        </w:tabs>
        <w:jc w:val="both"/>
        <w:rPr>
          <w:rFonts w:cs="Arial"/>
          <w:b/>
        </w:rPr>
      </w:pPr>
    </w:p>
    <w:p w:rsidR="00116952" w:rsidRPr="00BE5031" w:rsidRDefault="00BE5031" w:rsidP="00880446">
      <w:pPr>
        <w:tabs>
          <w:tab w:val="num" w:pos="720"/>
        </w:tabs>
        <w:jc w:val="both"/>
        <w:rPr>
          <w:rFonts w:cs="Arial"/>
        </w:rPr>
      </w:pPr>
      <w:r w:rsidRPr="00BE5031">
        <w:rPr>
          <w:rFonts w:cs="Arial"/>
        </w:rPr>
        <w:t>(ii)</w:t>
      </w:r>
      <w:r w:rsidRPr="00BE5031">
        <w:rPr>
          <w:rFonts w:cs="Arial"/>
        </w:rPr>
        <w:tab/>
      </w:r>
      <w:r w:rsidR="00116952" w:rsidRPr="00BE5031">
        <w:rPr>
          <w:rFonts w:cs="Arial"/>
        </w:rPr>
        <w:t>Public Service Pension Bill</w:t>
      </w:r>
    </w:p>
    <w:p w:rsidR="00116952" w:rsidRPr="00834E25" w:rsidRDefault="00116952" w:rsidP="00880446">
      <w:pPr>
        <w:jc w:val="both"/>
        <w:rPr>
          <w:rFonts w:cs="Arial"/>
          <w:u w:val="single"/>
        </w:rPr>
      </w:pPr>
    </w:p>
    <w:p w:rsidR="00116952" w:rsidRPr="00880446" w:rsidRDefault="00116952" w:rsidP="00880446">
      <w:pPr>
        <w:jc w:val="both"/>
        <w:rPr>
          <w:rFonts w:cs="Arial"/>
        </w:rPr>
      </w:pPr>
      <w:r w:rsidRPr="00880446">
        <w:rPr>
          <w:rFonts w:cs="Arial"/>
        </w:rPr>
        <w:t>The Independent Public Service Pensions Commission</w:t>
      </w:r>
      <w:r w:rsidR="00C15FB5">
        <w:rPr>
          <w:rFonts w:cs="Arial"/>
        </w:rPr>
        <w:t xml:space="preserve"> </w:t>
      </w:r>
      <w:r w:rsidRPr="00880446">
        <w:rPr>
          <w:rFonts w:cs="Arial"/>
        </w:rPr>
        <w:t>published its final report</w:t>
      </w:r>
      <w:r w:rsidR="008703F2">
        <w:rPr>
          <w:rFonts w:cs="Arial"/>
        </w:rPr>
        <w:t xml:space="preserve"> (The Hutton Report) </w:t>
      </w:r>
      <w:r w:rsidRPr="00880446">
        <w:rPr>
          <w:rFonts w:cs="Arial"/>
        </w:rPr>
        <w:t xml:space="preserve">in March 2011. The Government accepted its recommendations as the basis for consultation with public servants, trades unions and other member representatives.  </w:t>
      </w:r>
    </w:p>
    <w:p w:rsidR="00116952" w:rsidRDefault="00116952" w:rsidP="00880446">
      <w:pPr>
        <w:jc w:val="both"/>
        <w:rPr>
          <w:rFonts w:cs="Arial"/>
        </w:rPr>
      </w:pPr>
    </w:p>
    <w:p w:rsidR="00116952" w:rsidRDefault="00116952" w:rsidP="00880446">
      <w:pPr>
        <w:jc w:val="both"/>
        <w:rPr>
          <w:rFonts w:cs="Arial"/>
        </w:rPr>
      </w:pPr>
      <w:r w:rsidRPr="00880446">
        <w:rPr>
          <w:rFonts w:cs="Arial"/>
        </w:rPr>
        <w:t xml:space="preserve">The Public Service Pension Bill implements the agreement reached and introduces primary legislation to adopt a new common UK legal framework for public service pension provision. </w:t>
      </w:r>
    </w:p>
    <w:p w:rsidR="000E2BEA" w:rsidRDefault="000E2BEA" w:rsidP="00880446">
      <w:pPr>
        <w:jc w:val="both"/>
        <w:rPr>
          <w:rFonts w:cs="Arial"/>
        </w:rPr>
      </w:pPr>
    </w:p>
    <w:p w:rsidR="000E2BEA" w:rsidRPr="00880446" w:rsidRDefault="000E2BEA" w:rsidP="000E2BEA">
      <w:pPr>
        <w:jc w:val="both"/>
        <w:rPr>
          <w:rFonts w:cs="Arial"/>
          <w:color w:val="000000"/>
        </w:rPr>
      </w:pPr>
      <w:r w:rsidRPr="00880446">
        <w:rPr>
          <w:rFonts w:cs="Arial"/>
        </w:rPr>
        <w:t xml:space="preserve">The Bill is a framework Bill and its powers supersede those in the Superannuation Act 1972. It does not contain details on individual scheme design as </w:t>
      </w:r>
      <w:r w:rsidRPr="00880446">
        <w:rPr>
          <w:rFonts w:cs="Arial"/>
          <w:color w:val="000000"/>
        </w:rPr>
        <w:t xml:space="preserve">this will be set out in secondary legislation and individual Scheme rules. </w:t>
      </w:r>
    </w:p>
    <w:p w:rsidR="00116952" w:rsidRPr="00723008" w:rsidRDefault="00116952" w:rsidP="00880446">
      <w:pPr>
        <w:jc w:val="both"/>
        <w:rPr>
          <w:rFonts w:cs="Arial"/>
        </w:rPr>
      </w:pPr>
    </w:p>
    <w:p w:rsidR="00116952" w:rsidRDefault="00116952" w:rsidP="00BE5031">
      <w:pPr>
        <w:spacing w:line="300" w:lineRule="atLeast"/>
        <w:jc w:val="both"/>
        <w:rPr>
          <w:rFonts w:cs="Arial"/>
        </w:rPr>
      </w:pPr>
      <w:r w:rsidRPr="00880446">
        <w:rPr>
          <w:rFonts w:cs="Arial"/>
        </w:rPr>
        <w:t>The Bill was published on 13 September 2012</w:t>
      </w:r>
      <w:r w:rsidR="008703F2">
        <w:rPr>
          <w:rFonts w:cs="Arial"/>
        </w:rPr>
        <w:t xml:space="preserve">. </w:t>
      </w:r>
      <w:r w:rsidR="00A067AF">
        <w:rPr>
          <w:rFonts w:cs="Arial"/>
        </w:rPr>
        <w:t xml:space="preserve">By </w:t>
      </w:r>
      <w:r w:rsidR="00EA2ABF">
        <w:rPr>
          <w:rFonts w:cs="Arial"/>
        </w:rPr>
        <w:t xml:space="preserve">the </w:t>
      </w:r>
      <w:r w:rsidR="008703F2">
        <w:rPr>
          <w:rFonts w:cs="Arial"/>
        </w:rPr>
        <w:t>introduction of the Pensions Bill</w:t>
      </w:r>
      <w:r w:rsidR="00EA2ABF">
        <w:rPr>
          <w:rFonts w:cs="Arial"/>
        </w:rPr>
        <w:t xml:space="preserve"> the government </w:t>
      </w:r>
      <w:r w:rsidR="008703F2">
        <w:rPr>
          <w:rFonts w:cs="Arial"/>
        </w:rPr>
        <w:t>expect</w:t>
      </w:r>
      <w:r w:rsidR="00EA2ABF">
        <w:rPr>
          <w:rFonts w:cs="Arial"/>
        </w:rPr>
        <w:t>s</w:t>
      </w:r>
      <w:r w:rsidR="008703F2">
        <w:rPr>
          <w:rFonts w:cs="Arial"/>
        </w:rPr>
        <w:t xml:space="preserve"> to cut </w:t>
      </w:r>
      <w:r w:rsidRPr="00880446">
        <w:rPr>
          <w:rFonts w:cs="Arial"/>
        </w:rPr>
        <w:t xml:space="preserve">the cost of public sector pensions by nearly one-half over the next fifty years.  The </w:t>
      </w:r>
      <w:r w:rsidR="008703F2">
        <w:rPr>
          <w:rFonts w:cs="Arial"/>
        </w:rPr>
        <w:t>Bill will</w:t>
      </w:r>
      <w:r w:rsidRPr="00880446">
        <w:rPr>
          <w:rFonts w:cs="Arial"/>
        </w:rPr>
        <w:t xml:space="preserve">: </w:t>
      </w:r>
    </w:p>
    <w:p w:rsidR="00BE5031" w:rsidRPr="00880446" w:rsidRDefault="00BE5031" w:rsidP="00BE5031">
      <w:pPr>
        <w:spacing w:line="300" w:lineRule="atLeast"/>
        <w:jc w:val="both"/>
        <w:rPr>
          <w:rFonts w:cs="Arial"/>
        </w:rPr>
      </w:pPr>
    </w:p>
    <w:p w:rsidR="00BE5031" w:rsidRDefault="008703F2" w:rsidP="00BE5031">
      <w:pPr>
        <w:pStyle w:val="ListParagraph"/>
        <w:numPr>
          <w:ilvl w:val="0"/>
          <w:numId w:val="23"/>
        </w:numPr>
        <w:spacing w:line="288" w:lineRule="atLeast"/>
        <w:jc w:val="both"/>
        <w:rPr>
          <w:rFonts w:ascii="Arial" w:hAnsi="Arial" w:cs="Arial"/>
        </w:rPr>
      </w:pPr>
      <w:r>
        <w:rPr>
          <w:rFonts w:ascii="Arial" w:hAnsi="Arial" w:cs="Arial"/>
        </w:rPr>
        <w:t>e</w:t>
      </w:r>
      <w:r w:rsidR="00116952" w:rsidRPr="008703F2">
        <w:rPr>
          <w:rFonts w:ascii="Arial" w:hAnsi="Arial" w:cs="Arial"/>
        </w:rPr>
        <w:t xml:space="preserve">nable the creation of new,  Career </w:t>
      </w:r>
      <w:r w:rsidR="00012AA7">
        <w:rPr>
          <w:rFonts w:ascii="Arial" w:hAnsi="Arial" w:cs="Arial"/>
        </w:rPr>
        <w:t>Av</w:t>
      </w:r>
      <w:r w:rsidR="00116952" w:rsidRPr="008703F2">
        <w:rPr>
          <w:rFonts w:ascii="Arial" w:hAnsi="Arial" w:cs="Arial"/>
        </w:rPr>
        <w:t>erage public service pension schemes to replace the largest existing final salary schemes</w:t>
      </w:r>
      <w:r w:rsidR="00BE5031">
        <w:rPr>
          <w:rFonts w:ascii="Arial" w:hAnsi="Arial" w:cs="Arial"/>
        </w:rPr>
        <w:t>;</w:t>
      </w:r>
    </w:p>
    <w:p w:rsidR="00116952" w:rsidRPr="008703F2" w:rsidRDefault="00C15FB5" w:rsidP="00BE5031">
      <w:pPr>
        <w:pStyle w:val="ListParagraph"/>
        <w:spacing w:line="288" w:lineRule="atLeast"/>
        <w:jc w:val="both"/>
        <w:rPr>
          <w:rFonts w:ascii="Arial" w:hAnsi="Arial" w:cs="Arial"/>
        </w:rPr>
      </w:pPr>
      <w:r w:rsidRPr="008703F2">
        <w:rPr>
          <w:rFonts w:ascii="Arial" w:hAnsi="Arial" w:cs="Arial"/>
        </w:rPr>
        <w:t xml:space="preserve"> </w:t>
      </w:r>
    </w:p>
    <w:p w:rsidR="00116952" w:rsidRDefault="008703F2" w:rsidP="00BE5031">
      <w:pPr>
        <w:pStyle w:val="ListParagraph"/>
        <w:numPr>
          <w:ilvl w:val="0"/>
          <w:numId w:val="23"/>
        </w:numPr>
        <w:spacing w:line="288" w:lineRule="atLeast"/>
        <w:jc w:val="both"/>
        <w:rPr>
          <w:rFonts w:ascii="Arial" w:hAnsi="Arial" w:cs="Arial"/>
        </w:rPr>
      </w:pPr>
      <w:r>
        <w:rPr>
          <w:rFonts w:ascii="Arial" w:hAnsi="Arial" w:cs="Arial"/>
        </w:rPr>
        <w:t>l</w:t>
      </w:r>
      <w:r w:rsidR="00116952" w:rsidRPr="008703F2">
        <w:rPr>
          <w:rFonts w:ascii="Arial" w:hAnsi="Arial" w:cs="Arial"/>
        </w:rPr>
        <w:t>ink normal pension ages to State Pension age to manage longevity risk;</w:t>
      </w:r>
    </w:p>
    <w:p w:rsidR="00BE5031" w:rsidRPr="00BE5031" w:rsidRDefault="00BE5031" w:rsidP="00BE5031">
      <w:pPr>
        <w:pStyle w:val="ListParagraph"/>
        <w:rPr>
          <w:rFonts w:ascii="Arial" w:hAnsi="Arial" w:cs="Arial"/>
        </w:rPr>
      </w:pPr>
    </w:p>
    <w:p w:rsidR="00116952" w:rsidRDefault="008703F2" w:rsidP="00BE5031">
      <w:pPr>
        <w:pStyle w:val="ListParagraph"/>
        <w:numPr>
          <w:ilvl w:val="0"/>
          <w:numId w:val="23"/>
        </w:numPr>
        <w:spacing w:line="288" w:lineRule="atLeast"/>
        <w:jc w:val="both"/>
        <w:rPr>
          <w:rFonts w:ascii="Arial" w:hAnsi="Arial" w:cs="Arial"/>
        </w:rPr>
      </w:pPr>
      <w:r>
        <w:rPr>
          <w:rFonts w:ascii="Arial" w:hAnsi="Arial" w:cs="Arial"/>
        </w:rPr>
        <w:t>i</w:t>
      </w:r>
      <w:r w:rsidR="00116952" w:rsidRPr="008703F2">
        <w:rPr>
          <w:rFonts w:ascii="Arial" w:hAnsi="Arial" w:cs="Arial"/>
        </w:rPr>
        <w:t xml:space="preserve">ntroduce an employer cost cap to ensure unforeseen changes in cost are controlled to protect the taxpayer; </w:t>
      </w:r>
    </w:p>
    <w:p w:rsidR="00BE5031" w:rsidRPr="00BE5031" w:rsidRDefault="00BE5031" w:rsidP="00BE5031">
      <w:pPr>
        <w:spacing w:line="288" w:lineRule="atLeast"/>
        <w:ind w:left="720"/>
        <w:jc w:val="both"/>
        <w:rPr>
          <w:rFonts w:cs="Arial"/>
        </w:rPr>
      </w:pPr>
    </w:p>
    <w:p w:rsidR="00EA2ABF" w:rsidRDefault="008703F2" w:rsidP="00BE5031">
      <w:pPr>
        <w:pStyle w:val="ListParagraph"/>
        <w:numPr>
          <w:ilvl w:val="0"/>
          <w:numId w:val="23"/>
        </w:numPr>
        <w:spacing w:line="288" w:lineRule="atLeast"/>
        <w:jc w:val="both"/>
        <w:rPr>
          <w:rFonts w:ascii="Arial" w:hAnsi="Arial" w:cs="Arial"/>
        </w:rPr>
      </w:pPr>
      <w:r>
        <w:rPr>
          <w:rFonts w:ascii="Arial" w:hAnsi="Arial" w:cs="Arial"/>
        </w:rPr>
        <w:t>s</w:t>
      </w:r>
      <w:r w:rsidR="00116952" w:rsidRPr="008703F2">
        <w:rPr>
          <w:rFonts w:ascii="Arial" w:hAnsi="Arial" w:cs="Arial"/>
        </w:rPr>
        <w:t xml:space="preserve">et out requirements for scheme governance, regulation and administration to deliver transparency and accountability; </w:t>
      </w:r>
    </w:p>
    <w:p w:rsidR="00BE5031" w:rsidRPr="00BE5031" w:rsidRDefault="00BE5031" w:rsidP="00BE5031">
      <w:pPr>
        <w:spacing w:line="288" w:lineRule="atLeast"/>
        <w:ind w:left="720"/>
        <w:jc w:val="both"/>
        <w:rPr>
          <w:rFonts w:cs="Arial"/>
        </w:rPr>
      </w:pPr>
    </w:p>
    <w:p w:rsidR="00A30FEC" w:rsidRDefault="00A30FEC" w:rsidP="00BE5031">
      <w:pPr>
        <w:pStyle w:val="ListParagraph"/>
        <w:numPr>
          <w:ilvl w:val="0"/>
          <w:numId w:val="23"/>
        </w:numPr>
        <w:spacing w:line="288" w:lineRule="atLeast"/>
        <w:jc w:val="both"/>
        <w:rPr>
          <w:rFonts w:ascii="Arial" w:hAnsi="Arial" w:cs="Arial"/>
        </w:rPr>
        <w:sectPr w:rsidR="00A30FEC" w:rsidSect="00555A39">
          <w:footerReference w:type="default" r:id="rId10"/>
          <w:pgSz w:w="11906" w:h="16838"/>
          <w:pgMar w:top="1440" w:right="1440" w:bottom="1440" w:left="1440" w:header="708" w:footer="708" w:gutter="0"/>
          <w:cols w:space="708"/>
          <w:docGrid w:linePitch="360"/>
        </w:sectPr>
      </w:pPr>
    </w:p>
    <w:p w:rsidR="00EA2ABF" w:rsidRPr="00BC21A3" w:rsidRDefault="008703F2" w:rsidP="00BE5031">
      <w:pPr>
        <w:pStyle w:val="ListParagraph"/>
        <w:numPr>
          <w:ilvl w:val="0"/>
          <w:numId w:val="23"/>
        </w:numPr>
        <w:spacing w:line="288" w:lineRule="atLeast"/>
        <w:jc w:val="both"/>
        <w:rPr>
          <w:rFonts w:ascii="Arial" w:hAnsi="Arial" w:cs="Arial"/>
        </w:rPr>
      </w:pPr>
      <w:r w:rsidRPr="00BC21A3">
        <w:rPr>
          <w:rFonts w:ascii="Arial" w:hAnsi="Arial" w:cs="Arial"/>
        </w:rPr>
        <w:lastRenderedPageBreak/>
        <w:t>a</w:t>
      </w:r>
      <w:r w:rsidR="00116952" w:rsidRPr="00BC21A3">
        <w:rPr>
          <w:rFonts w:ascii="Arial" w:hAnsi="Arial" w:cs="Arial"/>
        </w:rPr>
        <w:t xml:space="preserve">llow for the provision </w:t>
      </w:r>
      <w:r w:rsidR="00834E25" w:rsidRPr="00BC21A3">
        <w:rPr>
          <w:rFonts w:ascii="Arial" w:hAnsi="Arial" w:cs="Arial"/>
        </w:rPr>
        <w:t xml:space="preserve">of </w:t>
      </w:r>
      <w:r w:rsidR="00116952" w:rsidRPr="00BC21A3">
        <w:rPr>
          <w:rFonts w:ascii="Arial" w:hAnsi="Arial" w:cs="Arial"/>
        </w:rPr>
        <w:t xml:space="preserve">protections, </w:t>
      </w:r>
      <w:r w:rsidR="00EA2ABF" w:rsidRPr="00BC21A3">
        <w:rPr>
          <w:rFonts w:ascii="Arial" w:hAnsi="Arial" w:cs="Arial"/>
        </w:rPr>
        <w:t>protecting those closest to retirement</w:t>
      </w:r>
      <w:r w:rsidR="00A067AF" w:rsidRPr="00BC21A3">
        <w:rPr>
          <w:rFonts w:ascii="Arial" w:hAnsi="Arial" w:cs="Arial"/>
        </w:rPr>
        <w:t>,</w:t>
      </w:r>
      <w:r w:rsidR="00EA2ABF" w:rsidRPr="00BC21A3">
        <w:rPr>
          <w:rFonts w:ascii="Arial" w:hAnsi="Arial" w:cs="Arial"/>
        </w:rPr>
        <w:t xml:space="preserve"> so that those ten years from their Normal Pension Age on 1 April 2012 will not</w:t>
      </w:r>
      <w:r w:rsidR="00BC21A3">
        <w:rPr>
          <w:rFonts w:ascii="Arial" w:hAnsi="Arial" w:cs="Arial"/>
        </w:rPr>
        <w:t xml:space="preserve"> </w:t>
      </w:r>
      <w:r w:rsidR="00EA2ABF" w:rsidRPr="00BC21A3">
        <w:rPr>
          <w:rFonts w:ascii="Arial" w:hAnsi="Arial" w:cs="Arial"/>
        </w:rPr>
        <w:t xml:space="preserve">see any change in when they can retire, nor any decrease in the amount of pension they receive on retirement; </w:t>
      </w:r>
    </w:p>
    <w:p w:rsidR="00BE5031" w:rsidRPr="00BE5031" w:rsidRDefault="00BE5031" w:rsidP="00BE5031">
      <w:pPr>
        <w:spacing w:line="288" w:lineRule="atLeast"/>
        <w:ind w:left="720"/>
        <w:jc w:val="both"/>
        <w:rPr>
          <w:rFonts w:cs="Arial"/>
        </w:rPr>
      </w:pPr>
    </w:p>
    <w:p w:rsidR="00C15FB5" w:rsidRPr="00EA2ABF" w:rsidRDefault="00116952" w:rsidP="00BE5031">
      <w:pPr>
        <w:pStyle w:val="ListParagraph"/>
        <w:numPr>
          <w:ilvl w:val="0"/>
          <w:numId w:val="23"/>
        </w:numPr>
        <w:spacing w:line="288" w:lineRule="atLeast"/>
        <w:jc w:val="both"/>
        <w:rPr>
          <w:rFonts w:ascii="Arial" w:hAnsi="Arial" w:cs="Arial"/>
        </w:rPr>
      </w:pPr>
      <w:proofErr w:type="gramStart"/>
      <w:r w:rsidRPr="00EA2ABF">
        <w:rPr>
          <w:rFonts w:ascii="Arial" w:hAnsi="Arial" w:cs="Arial"/>
          <w:color w:val="000000"/>
        </w:rPr>
        <w:t>provide</w:t>
      </w:r>
      <w:proofErr w:type="gramEnd"/>
      <w:r w:rsidRPr="00EA2ABF">
        <w:rPr>
          <w:rFonts w:ascii="Arial" w:hAnsi="Arial" w:cs="Arial"/>
          <w:color w:val="000000"/>
        </w:rPr>
        <w:t xml:space="preserve"> that existing scheme</w:t>
      </w:r>
      <w:r w:rsidR="00EA2ABF">
        <w:rPr>
          <w:rFonts w:ascii="Arial" w:hAnsi="Arial" w:cs="Arial"/>
          <w:color w:val="000000"/>
        </w:rPr>
        <w:t>s</w:t>
      </w:r>
      <w:r w:rsidRPr="00EA2ABF">
        <w:rPr>
          <w:rFonts w:ascii="Arial" w:hAnsi="Arial" w:cs="Arial"/>
          <w:color w:val="000000"/>
        </w:rPr>
        <w:t xml:space="preserve"> will be closed to future </w:t>
      </w:r>
      <w:r w:rsidR="00880446" w:rsidRPr="00EA2ABF">
        <w:rPr>
          <w:rFonts w:ascii="Arial" w:hAnsi="Arial" w:cs="Arial"/>
          <w:color w:val="000000"/>
        </w:rPr>
        <w:t xml:space="preserve">accrual </w:t>
      </w:r>
      <w:r w:rsidR="00C15FB5" w:rsidRPr="00EA2ABF">
        <w:rPr>
          <w:rFonts w:ascii="Arial" w:hAnsi="Arial" w:cs="Arial"/>
          <w:color w:val="000000"/>
        </w:rPr>
        <w:t>w</w:t>
      </w:r>
      <w:r w:rsidRPr="00EA2ABF">
        <w:rPr>
          <w:rFonts w:ascii="Arial" w:hAnsi="Arial" w:cs="Arial"/>
          <w:color w:val="000000"/>
        </w:rPr>
        <w:t>ith effect from 31 March 2014</w:t>
      </w:r>
      <w:r w:rsidR="00EA2ABF">
        <w:rPr>
          <w:rFonts w:ascii="Arial" w:hAnsi="Arial" w:cs="Arial"/>
          <w:color w:val="000000"/>
        </w:rPr>
        <w:t>, although transitional arrangement</w:t>
      </w:r>
      <w:r w:rsidR="00A067AF">
        <w:rPr>
          <w:rFonts w:ascii="Arial" w:hAnsi="Arial" w:cs="Arial"/>
          <w:color w:val="000000"/>
        </w:rPr>
        <w:t>s</w:t>
      </w:r>
      <w:r w:rsidR="00EA2ABF">
        <w:rPr>
          <w:rFonts w:ascii="Arial" w:hAnsi="Arial" w:cs="Arial"/>
          <w:color w:val="000000"/>
        </w:rPr>
        <w:t xml:space="preserve"> will allow for benefits accrued in current schemes to continue to be linked to final salary when leaving</w:t>
      </w:r>
      <w:r w:rsidRPr="00EA2ABF">
        <w:rPr>
          <w:rFonts w:ascii="Arial" w:hAnsi="Arial" w:cs="Arial"/>
          <w:color w:val="000000"/>
        </w:rPr>
        <w:t xml:space="preserve">.  </w:t>
      </w:r>
    </w:p>
    <w:p w:rsidR="002A1B44" w:rsidRDefault="002A1B44" w:rsidP="00880446">
      <w:pPr>
        <w:shd w:val="clear" w:color="auto" w:fill="FFFFFF"/>
        <w:spacing w:before="100" w:beforeAutospacing="1" w:after="100" w:afterAutospacing="1"/>
        <w:jc w:val="both"/>
        <w:rPr>
          <w:rFonts w:cs="Arial"/>
          <w:color w:val="000000"/>
        </w:rPr>
      </w:pPr>
      <w:r>
        <w:rPr>
          <w:rFonts w:cs="Arial"/>
          <w:color w:val="000000"/>
        </w:rPr>
        <w:t xml:space="preserve">In respect of Scheme governance </w:t>
      </w:r>
      <w:r w:rsidR="00F70E07">
        <w:rPr>
          <w:rFonts w:cs="Arial"/>
          <w:color w:val="000000"/>
        </w:rPr>
        <w:t>in particular, t</w:t>
      </w:r>
      <w:r>
        <w:rPr>
          <w:rFonts w:cs="Arial"/>
          <w:color w:val="000000"/>
        </w:rPr>
        <w:t xml:space="preserve">he Bill provides that: </w:t>
      </w:r>
    </w:p>
    <w:p w:rsidR="00116952" w:rsidRPr="002A1B44" w:rsidRDefault="002A1B44" w:rsidP="00295DE3">
      <w:pPr>
        <w:pStyle w:val="ListParagraph"/>
        <w:numPr>
          <w:ilvl w:val="0"/>
          <w:numId w:val="25"/>
        </w:numPr>
        <w:shd w:val="clear" w:color="auto" w:fill="FFFFFF"/>
        <w:spacing w:before="100" w:beforeAutospacing="1" w:after="100" w:afterAutospacing="1"/>
        <w:rPr>
          <w:rFonts w:ascii="Arial" w:hAnsi="Arial" w:cs="Arial"/>
          <w:color w:val="000000"/>
        </w:rPr>
      </w:pPr>
      <w:proofErr w:type="gramStart"/>
      <w:r>
        <w:rPr>
          <w:rFonts w:ascii="Arial" w:hAnsi="Arial" w:cs="Arial"/>
          <w:color w:val="000000"/>
        </w:rPr>
        <w:t>e</w:t>
      </w:r>
      <w:r w:rsidR="00116952" w:rsidRPr="002A1B44">
        <w:rPr>
          <w:rFonts w:ascii="Arial" w:hAnsi="Arial" w:cs="Arial"/>
          <w:color w:val="000000"/>
        </w:rPr>
        <w:t>ach</w:t>
      </w:r>
      <w:proofErr w:type="gramEnd"/>
      <w:r>
        <w:rPr>
          <w:rFonts w:ascii="Arial" w:hAnsi="Arial" w:cs="Arial"/>
          <w:color w:val="000000"/>
        </w:rPr>
        <w:t xml:space="preserve"> </w:t>
      </w:r>
      <w:r w:rsidR="00116952" w:rsidRPr="002A1B44">
        <w:rPr>
          <w:rFonts w:ascii="Arial" w:hAnsi="Arial" w:cs="Arial"/>
          <w:color w:val="000000"/>
        </w:rPr>
        <w:t xml:space="preserve">scheme must have a </w:t>
      </w:r>
      <w:r w:rsidR="00295DE3">
        <w:rPr>
          <w:rFonts w:ascii="Arial" w:hAnsi="Arial" w:cs="Arial"/>
          <w:color w:val="000000"/>
        </w:rPr>
        <w:t>S</w:t>
      </w:r>
      <w:r w:rsidR="00116952" w:rsidRPr="002A1B44">
        <w:rPr>
          <w:rFonts w:ascii="Arial" w:hAnsi="Arial" w:cs="Arial"/>
          <w:color w:val="000000"/>
        </w:rPr>
        <w:t xml:space="preserve">cheme </w:t>
      </w:r>
      <w:r w:rsidR="00295DE3">
        <w:rPr>
          <w:rFonts w:ascii="Arial" w:hAnsi="Arial" w:cs="Arial"/>
          <w:color w:val="000000"/>
        </w:rPr>
        <w:t>M</w:t>
      </w:r>
      <w:r w:rsidR="00116952" w:rsidRPr="002A1B44">
        <w:rPr>
          <w:rFonts w:ascii="Arial" w:hAnsi="Arial" w:cs="Arial"/>
          <w:color w:val="000000"/>
        </w:rPr>
        <w:t>anager</w:t>
      </w:r>
      <w:r>
        <w:rPr>
          <w:rFonts w:ascii="Arial" w:hAnsi="Arial" w:cs="Arial"/>
          <w:color w:val="000000"/>
        </w:rPr>
        <w:t xml:space="preserve"> (for LGPS this is </w:t>
      </w:r>
      <w:r w:rsidR="00116952" w:rsidRPr="002A1B44">
        <w:rPr>
          <w:rFonts w:ascii="Arial" w:hAnsi="Arial" w:cs="Arial"/>
          <w:color w:val="000000"/>
        </w:rPr>
        <w:t>expected to be the Administering Authority</w:t>
      </w:r>
      <w:r>
        <w:rPr>
          <w:rFonts w:ascii="Arial" w:hAnsi="Arial" w:cs="Arial"/>
          <w:color w:val="000000"/>
        </w:rPr>
        <w:t xml:space="preserve">) </w:t>
      </w:r>
      <w:r w:rsidR="00116952" w:rsidRPr="002A1B44">
        <w:rPr>
          <w:rFonts w:ascii="Arial" w:hAnsi="Arial" w:cs="Arial"/>
          <w:color w:val="000000"/>
        </w:rPr>
        <w:t xml:space="preserve"> responsible for administration, governance and </w:t>
      </w:r>
      <w:r w:rsidR="00295DE3">
        <w:rPr>
          <w:rFonts w:ascii="Arial" w:hAnsi="Arial" w:cs="Arial"/>
          <w:color w:val="000000"/>
        </w:rPr>
        <w:t xml:space="preserve">the provision of </w:t>
      </w:r>
      <w:r w:rsidR="00116952" w:rsidRPr="002A1B44">
        <w:rPr>
          <w:rFonts w:ascii="Arial" w:hAnsi="Arial" w:cs="Arial"/>
          <w:color w:val="000000"/>
        </w:rPr>
        <w:t xml:space="preserve">a </w:t>
      </w:r>
      <w:r w:rsidR="00295DE3">
        <w:rPr>
          <w:rFonts w:ascii="Arial" w:hAnsi="Arial" w:cs="Arial"/>
          <w:color w:val="000000"/>
        </w:rPr>
        <w:t>P</w:t>
      </w:r>
      <w:r w:rsidR="00116952" w:rsidRPr="002A1B44">
        <w:rPr>
          <w:rFonts w:ascii="Arial" w:hAnsi="Arial" w:cs="Arial"/>
          <w:color w:val="000000"/>
        </w:rPr>
        <w:t xml:space="preserve">ension </w:t>
      </w:r>
      <w:r w:rsidR="00295DE3">
        <w:rPr>
          <w:rFonts w:ascii="Arial" w:hAnsi="Arial" w:cs="Arial"/>
          <w:color w:val="000000"/>
        </w:rPr>
        <w:t>B</w:t>
      </w:r>
      <w:r w:rsidR="00116952" w:rsidRPr="002A1B44">
        <w:rPr>
          <w:rFonts w:ascii="Arial" w:hAnsi="Arial" w:cs="Arial"/>
          <w:color w:val="000000"/>
        </w:rPr>
        <w:t>oard. Th</w:t>
      </w:r>
      <w:r w:rsidR="00295DE3">
        <w:rPr>
          <w:rFonts w:ascii="Arial" w:hAnsi="Arial" w:cs="Arial"/>
          <w:color w:val="000000"/>
        </w:rPr>
        <w:t xml:space="preserve">is </w:t>
      </w:r>
      <w:r w:rsidR="00116952" w:rsidRPr="002A1B44">
        <w:rPr>
          <w:rFonts w:ascii="Arial" w:hAnsi="Arial" w:cs="Arial"/>
          <w:color w:val="000000"/>
        </w:rPr>
        <w:t xml:space="preserve">provision enables the </w:t>
      </w:r>
      <w:r w:rsidR="00295DE3">
        <w:rPr>
          <w:rFonts w:ascii="Arial" w:hAnsi="Arial" w:cs="Arial"/>
          <w:color w:val="000000"/>
        </w:rPr>
        <w:t>S</w:t>
      </w:r>
      <w:r w:rsidR="00116952" w:rsidRPr="002A1B44">
        <w:rPr>
          <w:rFonts w:ascii="Arial" w:hAnsi="Arial" w:cs="Arial"/>
          <w:color w:val="000000"/>
        </w:rPr>
        <w:t xml:space="preserve">cheme </w:t>
      </w:r>
      <w:r w:rsidR="00295DE3">
        <w:rPr>
          <w:rFonts w:ascii="Arial" w:hAnsi="Arial" w:cs="Arial"/>
          <w:color w:val="000000"/>
        </w:rPr>
        <w:t>M</w:t>
      </w:r>
      <w:r w:rsidR="00116952" w:rsidRPr="002A1B44">
        <w:rPr>
          <w:rFonts w:ascii="Arial" w:hAnsi="Arial" w:cs="Arial"/>
          <w:color w:val="000000"/>
        </w:rPr>
        <w:t xml:space="preserve">anager to delegate responsibilities to a </w:t>
      </w:r>
      <w:r w:rsidR="00295DE3">
        <w:rPr>
          <w:rFonts w:ascii="Arial" w:hAnsi="Arial" w:cs="Arial"/>
          <w:color w:val="000000"/>
        </w:rPr>
        <w:t xml:space="preserve">Pension Board </w:t>
      </w:r>
      <w:r w:rsidR="00116952" w:rsidRPr="002A1B44">
        <w:rPr>
          <w:rFonts w:ascii="Arial" w:hAnsi="Arial" w:cs="Arial"/>
          <w:color w:val="000000"/>
        </w:rPr>
        <w:t xml:space="preserve">in which case </w:t>
      </w:r>
      <w:r w:rsidR="00A067AF">
        <w:rPr>
          <w:rFonts w:ascii="Arial" w:hAnsi="Arial" w:cs="Arial"/>
          <w:color w:val="000000"/>
        </w:rPr>
        <w:t>it is expected that the c</w:t>
      </w:r>
      <w:r w:rsidR="00295DE3">
        <w:rPr>
          <w:rFonts w:ascii="Arial" w:hAnsi="Arial" w:cs="Arial"/>
          <w:color w:val="000000"/>
        </w:rPr>
        <w:t>urrent Pension Fund Committee</w:t>
      </w:r>
      <w:r w:rsidR="002000D2">
        <w:rPr>
          <w:rFonts w:ascii="Arial" w:hAnsi="Arial" w:cs="Arial"/>
          <w:color w:val="000000"/>
        </w:rPr>
        <w:t>s</w:t>
      </w:r>
      <w:r w:rsidR="00116952" w:rsidRPr="002A1B44">
        <w:rPr>
          <w:rFonts w:ascii="Arial" w:hAnsi="Arial" w:cs="Arial"/>
          <w:color w:val="000000"/>
        </w:rPr>
        <w:t xml:space="preserve"> would become the </w:t>
      </w:r>
      <w:r w:rsidR="00295DE3">
        <w:rPr>
          <w:rFonts w:ascii="Arial" w:hAnsi="Arial" w:cs="Arial"/>
          <w:color w:val="000000"/>
        </w:rPr>
        <w:t>P</w:t>
      </w:r>
      <w:r w:rsidR="00116952" w:rsidRPr="002A1B44">
        <w:rPr>
          <w:rFonts w:ascii="Arial" w:hAnsi="Arial" w:cs="Arial"/>
          <w:color w:val="000000"/>
        </w:rPr>
        <w:t xml:space="preserve">ension </w:t>
      </w:r>
      <w:r w:rsidR="00295DE3">
        <w:rPr>
          <w:rFonts w:ascii="Arial" w:hAnsi="Arial" w:cs="Arial"/>
          <w:color w:val="000000"/>
        </w:rPr>
        <w:t>B</w:t>
      </w:r>
      <w:r w:rsidR="00116952" w:rsidRPr="002A1B44">
        <w:rPr>
          <w:rFonts w:ascii="Arial" w:hAnsi="Arial" w:cs="Arial"/>
          <w:color w:val="000000"/>
        </w:rPr>
        <w:t>oard</w:t>
      </w:r>
      <w:r w:rsidR="002000D2">
        <w:rPr>
          <w:rFonts w:ascii="Arial" w:hAnsi="Arial" w:cs="Arial"/>
          <w:color w:val="000000"/>
        </w:rPr>
        <w:t>, although certain requirements in terms of the composition of the Board may be set out in regulations</w:t>
      </w:r>
      <w:r w:rsidR="00116952" w:rsidRPr="002A1B44">
        <w:rPr>
          <w:rFonts w:ascii="Arial" w:hAnsi="Arial" w:cs="Arial"/>
          <w:color w:val="000000"/>
        </w:rPr>
        <w:t xml:space="preserve">. The remit of the </w:t>
      </w:r>
      <w:r w:rsidR="00295DE3">
        <w:rPr>
          <w:rFonts w:ascii="Arial" w:hAnsi="Arial" w:cs="Arial"/>
          <w:color w:val="000000"/>
        </w:rPr>
        <w:t>P</w:t>
      </w:r>
      <w:r w:rsidR="00116952" w:rsidRPr="002A1B44">
        <w:rPr>
          <w:rFonts w:ascii="Arial" w:hAnsi="Arial" w:cs="Arial"/>
          <w:color w:val="000000"/>
        </w:rPr>
        <w:t xml:space="preserve">ension </w:t>
      </w:r>
      <w:r w:rsidR="00295DE3">
        <w:rPr>
          <w:rFonts w:ascii="Arial" w:hAnsi="Arial" w:cs="Arial"/>
          <w:color w:val="000000"/>
        </w:rPr>
        <w:t>B</w:t>
      </w:r>
      <w:r w:rsidR="00116952" w:rsidRPr="002A1B44">
        <w:rPr>
          <w:rFonts w:ascii="Arial" w:hAnsi="Arial" w:cs="Arial"/>
          <w:color w:val="000000"/>
        </w:rPr>
        <w:t>oards will be to ensure compliance with legislation,</w:t>
      </w:r>
      <w:r w:rsidR="00295DE3">
        <w:rPr>
          <w:rFonts w:ascii="Arial" w:hAnsi="Arial" w:cs="Arial"/>
          <w:color w:val="000000"/>
        </w:rPr>
        <w:t xml:space="preserve"> regulation and codes of practice. </w:t>
      </w:r>
      <w:r w:rsidR="001A6EE8">
        <w:rPr>
          <w:rFonts w:ascii="Arial" w:hAnsi="Arial" w:cs="Arial"/>
          <w:color w:val="000000"/>
        </w:rPr>
        <w:br/>
      </w:r>
    </w:p>
    <w:p w:rsidR="00BC21A3" w:rsidRDefault="00116952" w:rsidP="00BC21A3">
      <w:pPr>
        <w:pStyle w:val="ListParagraph"/>
        <w:numPr>
          <w:ilvl w:val="0"/>
          <w:numId w:val="25"/>
        </w:numPr>
        <w:shd w:val="clear" w:color="auto" w:fill="FFFFFF"/>
        <w:spacing w:before="100" w:beforeAutospacing="1"/>
        <w:rPr>
          <w:rFonts w:ascii="Arial" w:hAnsi="Arial" w:cs="Arial"/>
          <w:lang w:eastAsia="en-GB"/>
        </w:rPr>
      </w:pPr>
      <w:proofErr w:type="gramStart"/>
      <w:r w:rsidRPr="00BC21A3">
        <w:rPr>
          <w:rFonts w:ascii="Arial" w:hAnsi="Arial" w:cs="Arial"/>
        </w:rPr>
        <w:t>the</w:t>
      </w:r>
      <w:proofErr w:type="gramEnd"/>
      <w:r w:rsidRPr="00BC21A3">
        <w:rPr>
          <w:rFonts w:ascii="Arial" w:hAnsi="Arial" w:cs="Arial"/>
        </w:rPr>
        <w:t xml:space="preserve"> Pension</w:t>
      </w:r>
      <w:r w:rsidR="00F70E07" w:rsidRPr="00BC21A3">
        <w:rPr>
          <w:rFonts w:ascii="Arial" w:hAnsi="Arial" w:cs="Arial"/>
        </w:rPr>
        <w:t>s</w:t>
      </w:r>
      <w:r w:rsidRPr="00BC21A3">
        <w:rPr>
          <w:rFonts w:ascii="Arial" w:hAnsi="Arial" w:cs="Arial"/>
        </w:rPr>
        <w:t xml:space="preserve"> Regulator </w:t>
      </w:r>
      <w:r w:rsidR="00295DE3" w:rsidRPr="00BC21A3">
        <w:rPr>
          <w:rFonts w:ascii="Arial" w:hAnsi="Arial" w:cs="Arial"/>
        </w:rPr>
        <w:t xml:space="preserve">will have </w:t>
      </w:r>
      <w:r w:rsidR="00F70E07" w:rsidRPr="00BC21A3">
        <w:rPr>
          <w:rFonts w:ascii="Arial" w:hAnsi="Arial" w:cs="Arial"/>
        </w:rPr>
        <w:t xml:space="preserve">a significant role </w:t>
      </w:r>
      <w:r w:rsidRPr="00BC21A3">
        <w:rPr>
          <w:rFonts w:ascii="Arial" w:hAnsi="Arial" w:cs="Arial"/>
        </w:rPr>
        <w:t xml:space="preserve">overseeing the operation of </w:t>
      </w:r>
      <w:r w:rsidR="00295DE3" w:rsidRPr="00BC21A3">
        <w:rPr>
          <w:rFonts w:ascii="Arial" w:hAnsi="Arial" w:cs="Arial"/>
        </w:rPr>
        <w:t xml:space="preserve">public sector pension schemes </w:t>
      </w:r>
      <w:r w:rsidRPr="00BC21A3">
        <w:rPr>
          <w:rFonts w:ascii="Arial" w:hAnsi="Arial" w:cs="Arial"/>
        </w:rPr>
        <w:t xml:space="preserve">with the requirement </w:t>
      </w:r>
      <w:r w:rsidR="00295DE3" w:rsidRPr="00BC21A3">
        <w:rPr>
          <w:rFonts w:ascii="Arial" w:hAnsi="Arial" w:cs="Arial"/>
        </w:rPr>
        <w:t>for the Regulator to issue a code of practice for scheme management. T</w:t>
      </w:r>
      <w:r w:rsidR="009B5C3F" w:rsidRPr="00BC21A3">
        <w:rPr>
          <w:rFonts w:ascii="Arial" w:hAnsi="Arial" w:cs="Arial"/>
        </w:rPr>
        <w:t xml:space="preserve">he Regulator will have the power to appoint an appropriately skilled person to help the </w:t>
      </w:r>
      <w:r w:rsidR="00295DE3" w:rsidRPr="00BC21A3">
        <w:rPr>
          <w:rFonts w:ascii="Arial" w:hAnsi="Arial" w:cs="Arial"/>
        </w:rPr>
        <w:t>P</w:t>
      </w:r>
      <w:r w:rsidR="009B5C3F" w:rsidRPr="00BC21A3">
        <w:rPr>
          <w:rFonts w:ascii="Arial" w:hAnsi="Arial" w:cs="Arial"/>
        </w:rPr>
        <w:t xml:space="preserve">ension </w:t>
      </w:r>
      <w:r w:rsidR="00295DE3" w:rsidRPr="00BC21A3">
        <w:rPr>
          <w:rFonts w:ascii="Arial" w:hAnsi="Arial" w:cs="Arial"/>
        </w:rPr>
        <w:t>B</w:t>
      </w:r>
      <w:r w:rsidR="009B5C3F" w:rsidRPr="00BC21A3">
        <w:rPr>
          <w:rFonts w:ascii="Arial" w:hAnsi="Arial" w:cs="Arial"/>
        </w:rPr>
        <w:t>oard carry out its functions</w:t>
      </w:r>
      <w:r w:rsidR="001A6EE8" w:rsidRPr="00BC21A3">
        <w:rPr>
          <w:rFonts w:ascii="Arial" w:hAnsi="Arial" w:cs="Arial"/>
        </w:rPr>
        <w:t xml:space="preserve"> if they consider it to be appropriate for the purpose of ensuring compliance with the new legislation. </w:t>
      </w:r>
      <w:r w:rsidR="009B5C3F" w:rsidRPr="00BC21A3">
        <w:rPr>
          <w:rFonts w:ascii="Arial" w:hAnsi="Arial" w:cs="Arial"/>
        </w:rPr>
        <w:t>If s</w:t>
      </w:r>
      <w:r w:rsidR="001A6EE8" w:rsidRPr="00BC21A3">
        <w:rPr>
          <w:rFonts w:ascii="Arial" w:hAnsi="Arial" w:cs="Arial"/>
        </w:rPr>
        <w:t>uch an appointment is made,</w:t>
      </w:r>
      <w:r w:rsidR="009B5C3F" w:rsidRPr="00BC21A3">
        <w:rPr>
          <w:rFonts w:ascii="Arial" w:hAnsi="Arial" w:cs="Arial"/>
        </w:rPr>
        <w:t xml:space="preserve"> the board must have regard to the advice of the appointed person, and their costs are to be met by the </w:t>
      </w:r>
      <w:r w:rsidR="00295DE3" w:rsidRPr="00BC21A3">
        <w:rPr>
          <w:rFonts w:ascii="Arial" w:hAnsi="Arial" w:cs="Arial"/>
        </w:rPr>
        <w:t>S</w:t>
      </w:r>
      <w:r w:rsidR="009B5C3F" w:rsidRPr="00BC21A3">
        <w:rPr>
          <w:rFonts w:ascii="Arial" w:hAnsi="Arial" w:cs="Arial"/>
        </w:rPr>
        <w:t xml:space="preserve">cheme </w:t>
      </w:r>
      <w:r w:rsidR="00295DE3" w:rsidRPr="00BC21A3">
        <w:rPr>
          <w:rFonts w:ascii="Arial" w:hAnsi="Arial" w:cs="Arial"/>
        </w:rPr>
        <w:t>M</w:t>
      </w:r>
      <w:r w:rsidR="009B5C3F" w:rsidRPr="00BC21A3">
        <w:rPr>
          <w:rFonts w:ascii="Arial" w:hAnsi="Arial" w:cs="Arial"/>
        </w:rPr>
        <w:t>anager.</w:t>
      </w:r>
      <w:r w:rsidR="00295DE3" w:rsidRPr="00BC21A3">
        <w:rPr>
          <w:rFonts w:ascii="Arial" w:hAnsi="Arial" w:cs="Arial"/>
        </w:rPr>
        <w:t xml:space="preserve"> </w:t>
      </w:r>
      <w:r w:rsidR="00AB4F10" w:rsidRPr="00BC21A3">
        <w:rPr>
          <w:rFonts w:ascii="Arial" w:hAnsi="Arial" w:cs="Arial"/>
        </w:rPr>
        <w:t xml:space="preserve">The exact circumstances under which the Regulator will appoint such a person are not yet clear and further reports will be presented to the Committee as the new regulatory framework is published. </w:t>
      </w:r>
      <w:r w:rsidR="009B5C3F" w:rsidRPr="00BC21A3">
        <w:rPr>
          <w:rFonts w:ascii="Arial" w:hAnsi="Arial" w:cs="Arial"/>
          <w:lang w:eastAsia="en-GB"/>
        </w:rPr>
        <w:t xml:space="preserve">The Regulator will also require </w:t>
      </w:r>
      <w:r w:rsidR="00295DE3" w:rsidRPr="00BC21A3">
        <w:rPr>
          <w:rFonts w:ascii="Arial" w:hAnsi="Arial" w:cs="Arial"/>
          <w:lang w:eastAsia="en-GB"/>
        </w:rPr>
        <w:t>B</w:t>
      </w:r>
      <w:r w:rsidR="009B5C3F" w:rsidRPr="00BC21A3">
        <w:rPr>
          <w:rFonts w:ascii="Arial" w:hAnsi="Arial" w:cs="Arial"/>
          <w:lang w:eastAsia="en-GB"/>
        </w:rPr>
        <w:t>oard members to have knowledge and understanding about the scheme and the law relating to pensions in much the same way as the requirement</w:t>
      </w:r>
      <w:r w:rsidR="00295DE3" w:rsidRPr="00BC21A3">
        <w:rPr>
          <w:rFonts w:ascii="Arial" w:hAnsi="Arial" w:cs="Arial"/>
          <w:lang w:eastAsia="en-GB"/>
        </w:rPr>
        <w:t>s</w:t>
      </w:r>
      <w:r w:rsidR="009B5C3F" w:rsidRPr="00BC21A3">
        <w:rPr>
          <w:rFonts w:ascii="Arial" w:hAnsi="Arial" w:cs="Arial"/>
          <w:lang w:eastAsia="en-GB"/>
        </w:rPr>
        <w:t xml:space="preserve"> for trustees of private </w:t>
      </w:r>
      <w:r w:rsidR="00295DE3" w:rsidRPr="00BC21A3">
        <w:rPr>
          <w:rFonts w:ascii="Arial" w:hAnsi="Arial" w:cs="Arial"/>
          <w:lang w:eastAsia="en-GB"/>
        </w:rPr>
        <w:t xml:space="preserve">sector pension </w:t>
      </w:r>
      <w:r w:rsidR="009B5C3F" w:rsidRPr="00BC21A3">
        <w:rPr>
          <w:rFonts w:ascii="Arial" w:hAnsi="Arial" w:cs="Arial"/>
          <w:lang w:eastAsia="en-GB"/>
        </w:rPr>
        <w:t>schemes</w:t>
      </w:r>
      <w:r w:rsidR="00295DE3" w:rsidRPr="00BC21A3">
        <w:rPr>
          <w:rFonts w:ascii="Arial" w:hAnsi="Arial" w:cs="Arial"/>
          <w:lang w:eastAsia="en-GB"/>
        </w:rPr>
        <w:t>. In addition, t</w:t>
      </w:r>
      <w:r w:rsidR="00295DE3" w:rsidRPr="00BC21A3">
        <w:rPr>
          <w:rFonts w:ascii="Arial" w:hAnsi="Arial" w:cs="Arial"/>
        </w:rPr>
        <w:t xml:space="preserve">he </w:t>
      </w:r>
      <w:r w:rsidR="00295DE3" w:rsidRPr="00BC21A3">
        <w:rPr>
          <w:rFonts w:ascii="Arial" w:hAnsi="Arial" w:cs="Arial"/>
          <w:lang w:eastAsia="en-GB"/>
        </w:rPr>
        <w:t>Regulator will have the power to intervene and help recover contributions that are owed to the scheme by the employer</w:t>
      </w:r>
      <w:r w:rsidR="00012AA7" w:rsidRPr="00BC21A3">
        <w:rPr>
          <w:rFonts w:ascii="Arial" w:hAnsi="Arial" w:cs="Arial"/>
          <w:lang w:eastAsia="en-GB"/>
        </w:rPr>
        <w:t>.</w:t>
      </w:r>
    </w:p>
    <w:p w:rsidR="00BC21A3" w:rsidRDefault="00BC21A3" w:rsidP="00BC21A3">
      <w:pPr>
        <w:pStyle w:val="ListParagraph"/>
        <w:shd w:val="clear" w:color="auto" w:fill="FFFFFF"/>
        <w:rPr>
          <w:rFonts w:ascii="Arial" w:hAnsi="Arial" w:cs="Arial"/>
          <w:lang w:eastAsia="en-GB"/>
        </w:rPr>
      </w:pPr>
    </w:p>
    <w:p w:rsidR="00BC21A3" w:rsidRDefault="00BC21A3" w:rsidP="00BC21A3">
      <w:pPr>
        <w:pStyle w:val="ListParagraph"/>
        <w:numPr>
          <w:ilvl w:val="0"/>
          <w:numId w:val="25"/>
        </w:numPr>
        <w:shd w:val="clear" w:color="auto" w:fill="FFFFFF"/>
        <w:rPr>
          <w:rFonts w:ascii="Arial" w:hAnsi="Arial" w:cs="Arial"/>
          <w:lang w:eastAsia="en-GB"/>
        </w:rPr>
      </w:pPr>
      <w:proofErr w:type="gramStart"/>
      <w:r w:rsidRPr="00012AA7">
        <w:rPr>
          <w:rFonts w:ascii="Arial" w:hAnsi="Arial" w:cs="Arial"/>
        </w:rPr>
        <w:t>an</w:t>
      </w:r>
      <w:proofErr w:type="gramEnd"/>
      <w:r w:rsidRPr="00012AA7">
        <w:rPr>
          <w:rFonts w:ascii="Arial" w:hAnsi="Arial" w:cs="Arial"/>
        </w:rPr>
        <w:t xml:space="preserve"> actuarial valuation is made of schemes in accordance with Treasury directions. In relation to the LGPS this appears to give the Treasury wider powers than currently enjoyed albeit that the expectation is that this provision covers only the separate work which might be carried out in connection with the LGPS nationally i.e. any cost capping calculations.  However, to remove any ambiguity and in recognition of the financial management of the funded LGPS in comparison to the unfunded public sector schemes, amendments to the Bill may be necessary.  </w:t>
      </w:r>
    </w:p>
    <w:p w:rsidR="00BC21A3" w:rsidRDefault="00BC21A3" w:rsidP="00BC21A3">
      <w:pPr>
        <w:pStyle w:val="ListParagraph"/>
        <w:rPr>
          <w:rFonts w:ascii="Arial" w:hAnsi="Arial" w:cs="Arial"/>
          <w:lang w:eastAsia="en-GB"/>
        </w:rPr>
      </w:pPr>
    </w:p>
    <w:p w:rsidR="00A30FEC" w:rsidRDefault="00A30FEC" w:rsidP="00BC21A3">
      <w:pPr>
        <w:pStyle w:val="ListParagraph"/>
        <w:rPr>
          <w:rFonts w:ascii="Arial" w:hAnsi="Arial" w:cs="Arial"/>
          <w:lang w:eastAsia="en-GB"/>
        </w:rPr>
      </w:pPr>
    </w:p>
    <w:p w:rsidR="00A30FEC" w:rsidRPr="00BC21A3" w:rsidRDefault="00A30FEC" w:rsidP="00BC21A3">
      <w:pPr>
        <w:pStyle w:val="ListParagraph"/>
        <w:rPr>
          <w:rFonts w:ascii="Arial" w:hAnsi="Arial" w:cs="Arial"/>
          <w:lang w:eastAsia="en-GB"/>
        </w:rPr>
      </w:pPr>
    </w:p>
    <w:p w:rsidR="00116952" w:rsidRDefault="00116952" w:rsidP="00BC21A3">
      <w:pPr>
        <w:shd w:val="clear" w:color="auto" w:fill="FFFFFF"/>
        <w:jc w:val="both"/>
        <w:rPr>
          <w:rFonts w:cs="Arial"/>
        </w:rPr>
      </w:pPr>
      <w:r w:rsidRPr="00880446">
        <w:rPr>
          <w:rFonts w:cs="Arial"/>
        </w:rPr>
        <w:lastRenderedPageBreak/>
        <w:t>The Bill will now work its way through Parliament before being enacted during 2013.  Individual schemes</w:t>
      </w:r>
      <w:r w:rsidR="00E604D4">
        <w:rPr>
          <w:rFonts w:cs="Arial"/>
        </w:rPr>
        <w:t xml:space="preserve">, including LGPS, </w:t>
      </w:r>
      <w:r w:rsidRPr="00880446">
        <w:rPr>
          <w:rFonts w:cs="Arial"/>
        </w:rPr>
        <w:t xml:space="preserve">will then issue secondary legislation defining </w:t>
      </w:r>
      <w:r w:rsidR="004D5877">
        <w:rPr>
          <w:rFonts w:cs="Arial"/>
        </w:rPr>
        <w:t xml:space="preserve">new scheme regulations </w:t>
      </w:r>
      <w:r w:rsidRPr="00880446">
        <w:rPr>
          <w:rFonts w:cs="Arial"/>
        </w:rPr>
        <w:t>ahead of the commencement date</w:t>
      </w:r>
      <w:r w:rsidR="00AE78DB">
        <w:rPr>
          <w:rFonts w:cs="Arial"/>
        </w:rPr>
        <w:t xml:space="preserve">, expected to be </w:t>
      </w:r>
      <w:r w:rsidR="004D5877">
        <w:rPr>
          <w:rFonts w:cs="Arial"/>
        </w:rPr>
        <w:t>1 April 2014</w:t>
      </w:r>
      <w:r w:rsidRPr="00880446">
        <w:rPr>
          <w:rFonts w:cs="Arial"/>
        </w:rPr>
        <w:t>.</w:t>
      </w:r>
    </w:p>
    <w:p w:rsidR="00BC21A3" w:rsidRPr="00880446" w:rsidRDefault="00BC21A3" w:rsidP="00BC21A3">
      <w:pPr>
        <w:shd w:val="clear" w:color="auto" w:fill="FFFFFF"/>
        <w:jc w:val="both"/>
        <w:rPr>
          <w:rFonts w:cs="Arial"/>
        </w:rPr>
      </w:pPr>
    </w:p>
    <w:p w:rsidR="00280EC8" w:rsidRDefault="00280EC8" w:rsidP="00BC21A3">
      <w:pPr>
        <w:pStyle w:val="Heading1"/>
      </w:pPr>
      <w:r>
        <w:t>Consultations</w:t>
      </w:r>
    </w:p>
    <w:p w:rsidR="00280EC8" w:rsidRDefault="00280EC8" w:rsidP="00280EC8">
      <w:pPr>
        <w:pStyle w:val="Header"/>
      </w:pPr>
    </w:p>
    <w:p w:rsidR="00280EC8" w:rsidRDefault="00280EC8" w:rsidP="00280EC8">
      <w:pPr>
        <w:ind w:left="720" w:hanging="720"/>
        <w:jc w:val="both"/>
        <w:rPr>
          <w:szCs w:val="24"/>
        </w:rPr>
      </w:pPr>
      <w:r>
        <w:t>N/A</w:t>
      </w:r>
    </w:p>
    <w:p w:rsidR="00A03C7E" w:rsidRDefault="006B1E68" w:rsidP="00A03C7E">
      <w:pPr>
        <w:ind w:left="720" w:hanging="720"/>
        <w:jc w:val="both"/>
        <w:rPr>
          <w:b/>
          <w:szCs w:val="24"/>
        </w:rPr>
      </w:pPr>
      <w:r w:rsidRPr="006B1E68">
        <w:rPr>
          <w:b/>
          <w:szCs w:val="24"/>
        </w:rPr>
        <w:t>Implications:</w:t>
      </w:r>
    </w:p>
    <w:p w:rsidR="00A03C7E" w:rsidRDefault="00A03C7E" w:rsidP="00A03C7E">
      <w:pPr>
        <w:ind w:left="720" w:hanging="720"/>
        <w:jc w:val="both"/>
        <w:rPr>
          <w:b/>
          <w:szCs w:val="24"/>
        </w:rPr>
      </w:pPr>
    </w:p>
    <w:p w:rsidR="00555A39" w:rsidRDefault="002E56FC" w:rsidP="00555A39">
      <w:r>
        <w:rPr>
          <w:szCs w:val="24"/>
        </w:rPr>
        <w:t xml:space="preserve">Public Sector Pension Reform will fundamentally change the framework that the LGPS currently operates within. This change will need careful management at a local level to ensure compliance with the new requirements, especially in terms of governance and administration. </w:t>
      </w:r>
    </w:p>
    <w:p w:rsidR="00555A39" w:rsidRDefault="00555A39" w:rsidP="00555A39">
      <w:pPr>
        <w:ind w:left="720" w:hanging="720"/>
        <w:jc w:val="both"/>
        <w:rPr>
          <w:b/>
          <w:szCs w:val="24"/>
        </w:rPr>
      </w:pPr>
    </w:p>
    <w:p w:rsidR="00555A39" w:rsidRDefault="00555A39" w:rsidP="00555A39">
      <w:pPr>
        <w:ind w:left="720" w:hanging="720"/>
        <w:jc w:val="both"/>
        <w:rPr>
          <w:b/>
          <w:szCs w:val="24"/>
        </w:rPr>
      </w:pPr>
      <w:r>
        <w:rPr>
          <w:b/>
          <w:szCs w:val="24"/>
        </w:rPr>
        <w:t xml:space="preserve">Risk management </w:t>
      </w:r>
    </w:p>
    <w:p w:rsidR="002E56FC" w:rsidRDefault="002E56FC" w:rsidP="002E56FC">
      <w:pPr>
        <w:tabs>
          <w:tab w:val="left" w:pos="2370"/>
        </w:tabs>
        <w:ind w:left="720" w:hanging="720"/>
        <w:jc w:val="both"/>
        <w:rPr>
          <w:b/>
          <w:szCs w:val="24"/>
        </w:rPr>
      </w:pPr>
      <w:r>
        <w:rPr>
          <w:b/>
          <w:szCs w:val="24"/>
        </w:rPr>
        <w:tab/>
      </w:r>
      <w:r>
        <w:rPr>
          <w:b/>
          <w:szCs w:val="24"/>
        </w:rPr>
        <w:tab/>
      </w:r>
    </w:p>
    <w:p w:rsidR="007428B2" w:rsidRDefault="007428B2" w:rsidP="007428B2">
      <w:pPr>
        <w:ind w:left="720" w:hanging="720"/>
        <w:rPr>
          <w:szCs w:val="24"/>
        </w:rPr>
      </w:pPr>
      <w:r>
        <w:rPr>
          <w:szCs w:val="24"/>
        </w:rPr>
        <w:t xml:space="preserve">Reports on the implications of the new regulatory framework will be presented </w:t>
      </w:r>
    </w:p>
    <w:p w:rsidR="00555A39" w:rsidRPr="002E56FC" w:rsidRDefault="007428B2" w:rsidP="007428B2">
      <w:pPr>
        <w:ind w:left="720" w:hanging="720"/>
        <w:rPr>
          <w:szCs w:val="24"/>
        </w:rPr>
      </w:pPr>
      <w:proofErr w:type="gramStart"/>
      <w:r>
        <w:rPr>
          <w:szCs w:val="24"/>
        </w:rPr>
        <w:t>to</w:t>
      </w:r>
      <w:proofErr w:type="gramEnd"/>
      <w:r>
        <w:rPr>
          <w:szCs w:val="24"/>
        </w:rPr>
        <w:t xml:space="preserve"> the Pension Fund Committee as the new framework becomes clear. </w:t>
      </w:r>
    </w:p>
    <w:p w:rsidR="005617E6" w:rsidRDefault="005617E6" w:rsidP="00555A39">
      <w:pPr>
        <w:ind w:left="720" w:hanging="720"/>
      </w:pPr>
    </w:p>
    <w:p w:rsidR="001B147B" w:rsidRDefault="001B147B" w:rsidP="001B147B">
      <w:pPr>
        <w:pStyle w:val="Heading5"/>
        <w:rPr>
          <w:rFonts w:ascii="Arial" w:hAnsi="Arial"/>
          <w:u w:val="none"/>
        </w:rPr>
      </w:pPr>
      <w:r>
        <w:rPr>
          <w:rFonts w:ascii="Arial" w:hAnsi="Arial"/>
          <w:u w:val="none"/>
        </w:rPr>
        <w:t>Local Government (Access to Information) Act 1985</w:t>
      </w:r>
    </w:p>
    <w:p w:rsidR="001B147B" w:rsidRDefault="001B147B" w:rsidP="001B147B">
      <w:pPr>
        <w:pStyle w:val="Heading5"/>
        <w:rPr>
          <w:rFonts w:ascii="Arial" w:hAnsi="Arial"/>
          <w:u w:val="none"/>
        </w:rPr>
      </w:pPr>
      <w:r>
        <w:rPr>
          <w:rFonts w:ascii="Arial" w:hAnsi="Arial"/>
          <w:u w:val="none"/>
        </w:rPr>
        <w:t>List of Background Papers</w:t>
      </w:r>
    </w:p>
    <w:tbl>
      <w:tblPr>
        <w:tblW w:w="0" w:type="auto"/>
        <w:tblLayout w:type="fixed"/>
        <w:tblLook w:val="000C"/>
      </w:tblPr>
      <w:tblGrid>
        <w:gridCol w:w="3227"/>
        <w:gridCol w:w="2775"/>
        <w:gridCol w:w="3178"/>
      </w:tblGrid>
      <w:tr w:rsidR="001B147B">
        <w:tc>
          <w:tcPr>
            <w:tcW w:w="3227" w:type="dxa"/>
          </w:tcPr>
          <w:p w:rsidR="001B147B" w:rsidRDefault="001B147B" w:rsidP="00E51A7E">
            <w:pPr>
              <w:pStyle w:val="Heading7"/>
              <w:rPr>
                <w:rFonts w:ascii="Arial" w:hAnsi="Arial"/>
                <w:u w:val="none"/>
              </w:rPr>
            </w:pPr>
          </w:p>
        </w:tc>
        <w:tc>
          <w:tcPr>
            <w:tcW w:w="2775" w:type="dxa"/>
          </w:tcPr>
          <w:p w:rsidR="001B147B" w:rsidRDefault="001B147B" w:rsidP="00E51A7E">
            <w:pPr>
              <w:pStyle w:val="Heading7"/>
              <w:rPr>
                <w:rFonts w:ascii="Arial" w:hAnsi="Arial"/>
                <w:u w:val="none"/>
              </w:rPr>
            </w:pPr>
          </w:p>
        </w:tc>
        <w:tc>
          <w:tcPr>
            <w:tcW w:w="3178" w:type="dxa"/>
          </w:tcPr>
          <w:p w:rsidR="001B147B" w:rsidRDefault="001B147B" w:rsidP="00E51A7E">
            <w:pPr>
              <w:pStyle w:val="Heading7"/>
              <w:rPr>
                <w:rFonts w:ascii="Arial" w:hAnsi="Arial"/>
                <w:u w:val="none"/>
              </w:rPr>
            </w:pPr>
          </w:p>
        </w:tc>
      </w:tr>
    </w:tbl>
    <w:p w:rsidR="0069468C" w:rsidRPr="00555A39" w:rsidRDefault="00E90EB9" w:rsidP="00880446">
      <w:pPr>
        <w:pStyle w:val="BodyText"/>
        <w:rPr>
          <w:bCs/>
        </w:rPr>
      </w:pPr>
      <w:hyperlink r:id="rId11" w:history="1">
        <w:r w:rsidR="00C654DC" w:rsidRPr="00C654DC">
          <w:rPr>
            <w:rStyle w:val="Hyperlink"/>
            <w:bCs/>
          </w:rPr>
          <w:t xml:space="preserve">Public Service Pensions Bill </w:t>
        </w:r>
      </w:hyperlink>
    </w:p>
    <w:sectPr w:rsidR="0069468C" w:rsidRPr="00555A39" w:rsidSect="00555A39">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8B6" w:rsidRDefault="009018B6">
      <w:r>
        <w:separator/>
      </w:r>
    </w:p>
  </w:endnote>
  <w:endnote w:type="continuationSeparator" w:id="0">
    <w:p w:rsidR="009018B6" w:rsidRDefault="009018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1A3" w:rsidRDefault="00A30FEC" w:rsidP="00BC21A3">
    <w:pPr>
      <w:pStyle w:val="Footer"/>
      <w:tabs>
        <w:tab w:val="clear" w:pos="4153"/>
      </w:tabs>
      <w:ind w:right="-45"/>
      <w:jc w:val="right"/>
    </w:pPr>
    <w:r>
      <w:rPr>
        <w:noProof/>
      </w:rPr>
      <w:drawing>
        <wp:inline distT="0" distB="0" distL="0" distR="0">
          <wp:extent cx="1257300" cy="628650"/>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28650"/>
                  </a:xfrm>
                  <a:prstGeom prst="rect">
                    <a:avLst/>
                  </a:prstGeom>
                  <a:noFill/>
                  <a:ln w="9525">
                    <a:noFill/>
                    <a:miter lim="800000"/>
                    <a:headEnd/>
                    <a:tailEnd/>
                  </a:ln>
                </pic:spPr>
              </pic:pic>
            </a:graphicData>
          </a:graphic>
        </wp:inline>
      </w:drawing>
    </w:r>
  </w:p>
  <w:p w:rsidR="00BC21A3" w:rsidRDefault="00BC21A3">
    <w:pPr>
      <w:pStyle w:val="Footer"/>
      <w:jc w:val="center"/>
    </w:pPr>
  </w:p>
  <w:p w:rsidR="00BC21A3" w:rsidRDefault="00BC21A3">
    <w:pPr>
      <w:pStyle w:val="Footer"/>
      <w:tabs>
        <w:tab w:val="clear" w:pos="4153"/>
      </w:tabs>
      <w:ind w:right="-4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FEC" w:rsidRDefault="00A30FEC" w:rsidP="00BC21A3">
    <w:pPr>
      <w:pStyle w:val="Footer"/>
      <w:tabs>
        <w:tab w:val="clear" w:pos="4153"/>
      </w:tabs>
      <w:ind w:right="-45"/>
      <w:jc w:val="right"/>
    </w:pPr>
  </w:p>
  <w:p w:rsidR="00A30FEC" w:rsidRDefault="00A30FEC">
    <w:pPr>
      <w:pStyle w:val="Footer"/>
      <w:jc w:val="center"/>
    </w:pPr>
  </w:p>
  <w:p w:rsidR="00A30FEC" w:rsidRDefault="00A30FEC">
    <w:pPr>
      <w:pStyle w:val="Footer"/>
      <w:tabs>
        <w:tab w:val="clear" w:pos="4153"/>
      </w:tabs>
      <w:ind w:right="-45"/>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FEC" w:rsidRDefault="00A30FEC" w:rsidP="00BC21A3">
    <w:pPr>
      <w:pStyle w:val="Footer"/>
      <w:tabs>
        <w:tab w:val="clear" w:pos="4153"/>
      </w:tabs>
      <w:ind w:right="-45"/>
      <w:jc w:val="right"/>
    </w:pPr>
  </w:p>
  <w:p w:rsidR="00A30FEC" w:rsidRDefault="00A30FEC">
    <w:pPr>
      <w:pStyle w:val="Footer"/>
      <w:jc w:val="center"/>
    </w:pPr>
  </w:p>
  <w:p w:rsidR="00A30FEC" w:rsidRDefault="00A30FEC">
    <w:pPr>
      <w:pStyle w:val="Footer"/>
      <w:tabs>
        <w:tab w:val="clear" w:pos="4153"/>
      </w:tabs>
      <w:ind w:right="-4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8B6" w:rsidRDefault="009018B6">
      <w:r>
        <w:separator/>
      </w:r>
    </w:p>
  </w:footnote>
  <w:footnote w:type="continuationSeparator" w:id="0">
    <w:p w:rsidR="009018B6" w:rsidRDefault="009018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4DDF"/>
    <w:multiLevelType w:val="hybridMultilevel"/>
    <w:tmpl w:val="3B1E6C7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nsid w:val="086548AC"/>
    <w:multiLevelType w:val="hybridMultilevel"/>
    <w:tmpl w:val="52C2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7029C6"/>
    <w:multiLevelType w:val="hybridMultilevel"/>
    <w:tmpl w:val="A2DA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F62898"/>
    <w:multiLevelType w:val="multilevel"/>
    <w:tmpl w:val="02F27154"/>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4">
    <w:nsid w:val="13AD778B"/>
    <w:multiLevelType w:val="multilevel"/>
    <w:tmpl w:val="AB02F290"/>
    <w:lvl w:ilvl="0">
      <w:start w:val="2"/>
      <w:numFmt w:val="decimal"/>
      <w:lvlText w:val="%1"/>
      <w:lvlJc w:val="left"/>
      <w:pPr>
        <w:tabs>
          <w:tab w:val="num" w:pos="540"/>
        </w:tabs>
        <w:ind w:left="54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C65BC7"/>
    <w:multiLevelType w:val="hybridMultilevel"/>
    <w:tmpl w:val="52AAD462"/>
    <w:lvl w:ilvl="0" w:tplc="08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F56681"/>
    <w:multiLevelType w:val="hybridMultilevel"/>
    <w:tmpl w:val="C3481728"/>
    <w:lvl w:ilvl="0" w:tplc="D368C8F0">
      <w:start w:val="2"/>
      <w:numFmt w:val="decimal"/>
      <w:lvlText w:val="%1."/>
      <w:lvlJc w:val="left"/>
      <w:pPr>
        <w:tabs>
          <w:tab w:val="num" w:pos="720"/>
        </w:tabs>
        <w:ind w:left="720" w:hanging="36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1D6B3F1F"/>
    <w:multiLevelType w:val="hybridMultilevel"/>
    <w:tmpl w:val="81EA9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F46504"/>
    <w:multiLevelType w:val="hybridMultilevel"/>
    <w:tmpl w:val="E648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025450"/>
    <w:multiLevelType w:val="hybridMultilevel"/>
    <w:tmpl w:val="7F88062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0">
    <w:nsid w:val="2F145CAD"/>
    <w:multiLevelType w:val="hybridMultilevel"/>
    <w:tmpl w:val="6B7AB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9470D8"/>
    <w:multiLevelType w:val="hybridMultilevel"/>
    <w:tmpl w:val="DA3838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2465A9"/>
    <w:multiLevelType w:val="hybridMultilevel"/>
    <w:tmpl w:val="B45CBDD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nsid w:val="3B30701C"/>
    <w:multiLevelType w:val="hybridMultilevel"/>
    <w:tmpl w:val="0F128DE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FC774EB"/>
    <w:multiLevelType w:val="hybridMultilevel"/>
    <w:tmpl w:val="75A4AB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5">
    <w:nsid w:val="47B409B2"/>
    <w:multiLevelType w:val="hybridMultilevel"/>
    <w:tmpl w:val="D2547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7E26CFF"/>
    <w:multiLevelType w:val="hybridMultilevel"/>
    <w:tmpl w:val="7BEC6AF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7">
    <w:nsid w:val="49B73BB6"/>
    <w:multiLevelType w:val="multilevel"/>
    <w:tmpl w:val="B0DA095A"/>
    <w:lvl w:ilvl="0">
      <w:start w:val="2"/>
      <w:numFmt w:val="decimal"/>
      <w:pStyle w:val="Numpara"/>
      <w:lvlText w:val="%1."/>
      <w:lvlJc w:val="left"/>
      <w:pPr>
        <w:tabs>
          <w:tab w:val="num" w:pos="360"/>
        </w:tabs>
      </w:pPr>
      <w:rPr>
        <w:rFonts w:cs="Times New Roman"/>
      </w:rPr>
    </w:lvl>
    <w:lvl w:ilvl="1">
      <w:start w:val="1"/>
      <w:numFmt w:val="lowerLetter"/>
      <w:lvlText w:val="%2)"/>
      <w:lvlJc w:val="left"/>
      <w:pPr>
        <w:tabs>
          <w:tab w:val="num" w:pos="1004"/>
        </w:tabs>
        <w:ind w:left="1004" w:hanging="360"/>
      </w:pPr>
      <w:rPr>
        <w:rFonts w:cs="Times New Roman"/>
      </w:rPr>
    </w:lvl>
    <w:lvl w:ilvl="2">
      <w:start w:val="1"/>
      <w:numFmt w:val="lowerRoman"/>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rPr>
    </w:lvl>
    <w:lvl w:ilvl="4">
      <w:start w:val="1"/>
      <w:numFmt w:val="lowerLetter"/>
      <w:lvlText w:val="(%5)"/>
      <w:lvlJc w:val="left"/>
      <w:pPr>
        <w:tabs>
          <w:tab w:val="num" w:pos="2084"/>
        </w:tabs>
        <w:ind w:left="2084" w:hanging="360"/>
      </w:pPr>
      <w:rPr>
        <w:rFonts w:cs="Times New Roman"/>
      </w:rPr>
    </w:lvl>
    <w:lvl w:ilvl="5">
      <w:start w:val="1"/>
      <w:numFmt w:val="lowerRoman"/>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lowerLetter"/>
      <w:lvlText w:val="%8."/>
      <w:lvlJc w:val="left"/>
      <w:pPr>
        <w:tabs>
          <w:tab w:val="num" w:pos="3164"/>
        </w:tabs>
        <w:ind w:left="3164" w:hanging="360"/>
      </w:pPr>
      <w:rPr>
        <w:rFonts w:cs="Times New Roman"/>
      </w:rPr>
    </w:lvl>
    <w:lvl w:ilvl="8">
      <w:start w:val="1"/>
      <w:numFmt w:val="lowerRoman"/>
      <w:lvlText w:val="%9."/>
      <w:lvlJc w:val="left"/>
      <w:pPr>
        <w:tabs>
          <w:tab w:val="num" w:pos="3524"/>
        </w:tabs>
        <w:ind w:left="3524" w:hanging="360"/>
      </w:pPr>
      <w:rPr>
        <w:rFonts w:cs="Times New Roman"/>
      </w:rPr>
    </w:lvl>
  </w:abstractNum>
  <w:abstractNum w:abstractNumId="18">
    <w:nsid w:val="4B455D80"/>
    <w:multiLevelType w:val="hybridMultilevel"/>
    <w:tmpl w:val="8A462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672794"/>
    <w:multiLevelType w:val="hybridMultilevel"/>
    <w:tmpl w:val="436C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5345EC"/>
    <w:multiLevelType w:val="hybridMultilevel"/>
    <w:tmpl w:val="822EC2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AF468B8"/>
    <w:multiLevelType w:val="hybridMultilevel"/>
    <w:tmpl w:val="6950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C27D51"/>
    <w:multiLevelType w:val="hybridMultilevel"/>
    <w:tmpl w:val="B1F801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nsid w:val="7F32701A"/>
    <w:multiLevelType w:val="hybridMultilevel"/>
    <w:tmpl w:val="EF24C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6"/>
  </w:num>
  <w:num w:numId="6">
    <w:abstractNumId w:val="1"/>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2"/>
  </w:num>
  <w:num w:numId="15">
    <w:abstractNumId w:val="4"/>
  </w:num>
  <w:num w:numId="16">
    <w:abstractNumId w:val="9"/>
  </w:num>
  <w:num w:numId="17">
    <w:abstractNumId w:val="5"/>
  </w:num>
  <w:num w:numId="18">
    <w:abstractNumId w:val="23"/>
  </w:num>
  <w:num w:numId="19">
    <w:abstractNumId w:val="7"/>
  </w:num>
  <w:num w:numId="20">
    <w:abstractNumId w:val="11"/>
  </w:num>
  <w:num w:numId="21">
    <w:abstractNumId w:val="10"/>
  </w:num>
  <w:num w:numId="22">
    <w:abstractNumId w:val="20"/>
  </w:num>
  <w:num w:numId="23">
    <w:abstractNumId w:val="19"/>
  </w:num>
  <w:num w:numId="24">
    <w:abstractNumId w:val="3"/>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E6A45"/>
    <w:rsid w:val="00012AA7"/>
    <w:rsid w:val="0001314F"/>
    <w:rsid w:val="000177C6"/>
    <w:rsid w:val="00025BAE"/>
    <w:rsid w:val="000329E6"/>
    <w:rsid w:val="00034E25"/>
    <w:rsid w:val="00056525"/>
    <w:rsid w:val="00063120"/>
    <w:rsid w:val="00073A47"/>
    <w:rsid w:val="0007411C"/>
    <w:rsid w:val="000745EF"/>
    <w:rsid w:val="0007544C"/>
    <w:rsid w:val="000806E9"/>
    <w:rsid w:val="00086266"/>
    <w:rsid w:val="00087101"/>
    <w:rsid w:val="000947D5"/>
    <w:rsid w:val="000C0D05"/>
    <w:rsid w:val="000D4140"/>
    <w:rsid w:val="000E2BEA"/>
    <w:rsid w:val="000E5A77"/>
    <w:rsid w:val="000F1D3F"/>
    <w:rsid w:val="00101BE2"/>
    <w:rsid w:val="0010467B"/>
    <w:rsid w:val="00116952"/>
    <w:rsid w:val="00130D88"/>
    <w:rsid w:val="00133E45"/>
    <w:rsid w:val="00152DED"/>
    <w:rsid w:val="00154947"/>
    <w:rsid w:val="00185ED2"/>
    <w:rsid w:val="00187D50"/>
    <w:rsid w:val="00187DD0"/>
    <w:rsid w:val="001906F7"/>
    <w:rsid w:val="00194058"/>
    <w:rsid w:val="00195B39"/>
    <w:rsid w:val="001A2D4D"/>
    <w:rsid w:val="001A6EE8"/>
    <w:rsid w:val="001B147B"/>
    <w:rsid w:val="001B5678"/>
    <w:rsid w:val="001B7AF7"/>
    <w:rsid w:val="001B7D4F"/>
    <w:rsid w:val="001C20AA"/>
    <w:rsid w:val="001C3C28"/>
    <w:rsid w:val="001E4E15"/>
    <w:rsid w:val="001F70F7"/>
    <w:rsid w:val="002000D2"/>
    <w:rsid w:val="0020177E"/>
    <w:rsid w:val="0022246E"/>
    <w:rsid w:val="0022417B"/>
    <w:rsid w:val="0022455A"/>
    <w:rsid w:val="00234969"/>
    <w:rsid w:val="002453CA"/>
    <w:rsid w:val="002634CD"/>
    <w:rsid w:val="00264E09"/>
    <w:rsid w:val="00271091"/>
    <w:rsid w:val="00280EC8"/>
    <w:rsid w:val="0028221B"/>
    <w:rsid w:val="0028461B"/>
    <w:rsid w:val="002863B0"/>
    <w:rsid w:val="00286FF6"/>
    <w:rsid w:val="00295DE3"/>
    <w:rsid w:val="002A1B44"/>
    <w:rsid w:val="002A6054"/>
    <w:rsid w:val="002B11AF"/>
    <w:rsid w:val="002B2471"/>
    <w:rsid w:val="002B3BD7"/>
    <w:rsid w:val="002B6D41"/>
    <w:rsid w:val="002C7FF8"/>
    <w:rsid w:val="002E56FC"/>
    <w:rsid w:val="002E68B0"/>
    <w:rsid w:val="002F56B9"/>
    <w:rsid w:val="003357EA"/>
    <w:rsid w:val="00344FD4"/>
    <w:rsid w:val="00351C63"/>
    <w:rsid w:val="00354CAC"/>
    <w:rsid w:val="00357595"/>
    <w:rsid w:val="00357954"/>
    <w:rsid w:val="003654B4"/>
    <w:rsid w:val="003A3EAD"/>
    <w:rsid w:val="003B04D5"/>
    <w:rsid w:val="003C7AF8"/>
    <w:rsid w:val="003E07FE"/>
    <w:rsid w:val="003E6A45"/>
    <w:rsid w:val="003E6D5D"/>
    <w:rsid w:val="00403A66"/>
    <w:rsid w:val="004168FF"/>
    <w:rsid w:val="00420805"/>
    <w:rsid w:val="00430B64"/>
    <w:rsid w:val="00440072"/>
    <w:rsid w:val="004418AC"/>
    <w:rsid w:val="004428D8"/>
    <w:rsid w:val="0044710C"/>
    <w:rsid w:val="0045257E"/>
    <w:rsid w:val="0046091B"/>
    <w:rsid w:val="00474CD8"/>
    <w:rsid w:val="004942DE"/>
    <w:rsid w:val="004B31C9"/>
    <w:rsid w:val="004C014A"/>
    <w:rsid w:val="004D2B9C"/>
    <w:rsid w:val="004D3232"/>
    <w:rsid w:val="004D4D47"/>
    <w:rsid w:val="004D5877"/>
    <w:rsid w:val="004E4DE3"/>
    <w:rsid w:val="005035DD"/>
    <w:rsid w:val="005072CE"/>
    <w:rsid w:val="005104F6"/>
    <w:rsid w:val="00514335"/>
    <w:rsid w:val="005200DA"/>
    <w:rsid w:val="0052561B"/>
    <w:rsid w:val="00534F30"/>
    <w:rsid w:val="005514A5"/>
    <w:rsid w:val="00555A39"/>
    <w:rsid w:val="00556141"/>
    <w:rsid w:val="005575CA"/>
    <w:rsid w:val="005617E6"/>
    <w:rsid w:val="0056251B"/>
    <w:rsid w:val="00567E05"/>
    <w:rsid w:val="005760EF"/>
    <w:rsid w:val="005907B4"/>
    <w:rsid w:val="00592464"/>
    <w:rsid w:val="005A2EC6"/>
    <w:rsid w:val="005B316D"/>
    <w:rsid w:val="005B527D"/>
    <w:rsid w:val="005C2A1A"/>
    <w:rsid w:val="005C2D38"/>
    <w:rsid w:val="005D30DC"/>
    <w:rsid w:val="005E06AF"/>
    <w:rsid w:val="005E45AE"/>
    <w:rsid w:val="005E55E1"/>
    <w:rsid w:val="005F16DD"/>
    <w:rsid w:val="005F64CF"/>
    <w:rsid w:val="0061685D"/>
    <w:rsid w:val="0061765C"/>
    <w:rsid w:val="00623F3A"/>
    <w:rsid w:val="00630CE3"/>
    <w:rsid w:val="00643295"/>
    <w:rsid w:val="00664606"/>
    <w:rsid w:val="0069468C"/>
    <w:rsid w:val="006A08E5"/>
    <w:rsid w:val="006A7A15"/>
    <w:rsid w:val="006B1E68"/>
    <w:rsid w:val="006B6928"/>
    <w:rsid w:val="006B71F1"/>
    <w:rsid w:val="00716FC4"/>
    <w:rsid w:val="00727181"/>
    <w:rsid w:val="00736CE7"/>
    <w:rsid w:val="007428B2"/>
    <w:rsid w:val="00750F28"/>
    <w:rsid w:val="00764894"/>
    <w:rsid w:val="0076622E"/>
    <w:rsid w:val="007666CD"/>
    <w:rsid w:val="00772BBA"/>
    <w:rsid w:val="00781E87"/>
    <w:rsid w:val="00782D0E"/>
    <w:rsid w:val="007B2CD3"/>
    <w:rsid w:val="007C4D86"/>
    <w:rsid w:val="007E7A9F"/>
    <w:rsid w:val="00821577"/>
    <w:rsid w:val="00824878"/>
    <w:rsid w:val="00834E25"/>
    <w:rsid w:val="0084077A"/>
    <w:rsid w:val="00842BD8"/>
    <w:rsid w:val="00846D45"/>
    <w:rsid w:val="008703F2"/>
    <w:rsid w:val="00877DED"/>
    <w:rsid w:val="00880446"/>
    <w:rsid w:val="00880D78"/>
    <w:rsid w:val="008A5E88"/>
    <w:rsid w:val="008B3E81"/>
    <w:rsid w:val="008D4EAC"/>
    <w:rsid w:val="008E4822"/>
    <w:rsid w:val="009011B8"/>
    <w:rsid w:val="009018B6"/>
    <w:rsid w:val="0091605E"/>
    <w:rsid w:val="009457EF"/>
    <w:rsid w:val="00945C0A"/>
    <w:rsid w:val="00951537"/>
    <w:rsid w:val="00963EF3"/>
    <w:rsid w:val="00973A90"/>
    <w:rsid w:val="00983C81"/>
    <w:rsid w:val="00984ED4"/>
    <w:rsid w:val="0099076E"/>
    <w:rsid w:val="009B537C"/>
    <w:rsid w:val="009B5C3F"/>
    <w:rsid w:val="009D5C91"/>
    <w:rsid w:val="009E0FB1"/>
    <w:rsid w:val="00A01BED"/>
    <w:rsid w:val="00A03C7E"/>
    <w:rsid w:val="00A067AF"/>
    <w:rsid w:val="00A30FEC"/>
    <w:rsid w:val="00A42D79"/>
    <w:rsid w:val="00A561C5"/>
    <w:rsid w:val="00A73E29"/>
    <w:rsid w:val="00A76313"/>
    <w:rsid w:val="00A76F8A"/>
    <w:rsid w:val="00AA108F"/>
    <w:rsid w:val="00AB4F10"/>
    <w:rsid w:val="00AC0901"/>
    <w:rsid w:val="00AC19C7"/>
    <w:rsid w:val="00AC235E"/>
    <w:rsid w:val="00AC32EB"/>
    <w:rsid w:val="00AC6C2D"/>
    <w:rsid w:val="00AC780C"/>
    <w:rsid w:val="00AE0372"/>
    <w:rsid w:val="00AE78DB"/>
    <w:rsid w:val="00AF6ED4"/>
    <w:rsid w:val="00AF7259"/>
    <w:rsid w:val="00B07B0C"/>
    <w:rsid w:val="00B11F05"/>
    <w:rsid w:val="00B27AA2"/>
    <w:rsid w:val="00B36357"/>
    <w:rsid w:val="00B838CB"/>
    <w:rsid w:val="00B95E77"/>
    <w:rsid w:val="00BA5EE3"/>
    <w:rsid w:val="00BB08CC"/>
    <w:rsid w:val="00BB4E1C"/>
    <w:rsid w:val="00BC21A3"/>
    <w:rsid w:val="00BC77D0"/>
    <w:rsid w:val="00BD3C47"/>
    <w:rsid w:val="00BD542D"/>
    <w:rsid w:val="00BE5031"/>
    <w:rsid w:val="00BF2008"/>
    <w:rsid w:val="00BF2E9A"/>
    <w:rsid w:val="00C04208"/>
    <w:rsid w:val="00C04AC8"/>
    <w:rsid w:val="00C05FEA"/>
    <w:rsid w:val="00C15FB5"/>
    <w:rsid w:val="00C203EF"/>
    <w:rsid w:val="00C20520"/>
    <w:rsid w:val="00C20DC0"/>
    <w:rsid w:val="00C27B71"/>
    <w:rsid w:val="00C312E0"/>
    <w:rsid w:val="00C3283A"/>
    <w:rsid w:val="00C4775C"/>
    <w:rsid w:val="00C55DB5"/>
    <w:rsid w:val="00C61E37"/>
    <w:rsid w:val="00C654DC"/>
    <w:rsid w:val="00C87BD0"/>
    <w:rsid w:val="00C9452D"/>
    <w:rsid w:val="00CA5D46"/>
    <w:rsid w:val="00CD1F47"/>
    <w:rsid w:val="00CD5239"/>
    <w:rsid w:val="00CD5683"/>
    <w:rsid w:val="00CE6921"/>
    <w:rsid w:val="00D00C3D"/>
    <w:rsid w:val="00D03093"/>
    <w:rsid w:val="00D12BA3"/>
    <w:rsid w:val="00D573C7"/>
    <w:rsid w:val="00D75C47"/>
    <w:rsid w:val="00D85E0F"/>
    <w:rsid w:val="00DA351A"/>
    <w:rsid w:val="00DA4237"/>
    <w:rsid w:val="00DA77A6"/>
    <w:rsid w:val="00DB7FF3"/>
    <w:rsid w:val="00DD3D94"/>
    <w:rsid w:val="00DE2E7D"/>
    <w:rsid w:val="00DF464A"/>
    <w:rsid w:val="00E0587B"/>
    <w:rsid w:val="00E060B4"/>
    <w:rsid w:val="00E06B4B"/>
    <w:rsid w:val="00E36B57"/>
    <w:rsid w:val="00E45FC2"/>
    <w:rsid w:val="00E51A7E"/>
    <w:rsid w:val="00E604D4"/>
    <w:rsid w:val="00E60912"/>
    <w:rsid w:val="00E90EB9"/>
    <w:rsid w:val="00E94381"/>
    <w:rsid w:val="00EA2ABF"/>
    <w:rsid w:val="00EA45E5"/>
    <w:rsid w:val="00EB15CB"/>
    <w:rsid w:val="00ED6F50"/>
    <w:rsid w:val="00EE318A"/>
    <w:rsid w:val="00EF36AB"/>
    <w:rsid w:val="00F0544C"/>
    <w:rsid w:val="00F11FB1"/>
    <w:rsid w:val="00F132C4"/>
    <w:rsid w:val="00F242C4"/>
    <w:rsid w:val="00F52C92"/>
    <w:rsid w:val="00F53B36"/>
    <w:rsid w:val="00F547A6"/>
    <w:rsid w:val="00F70E07"/>
    <w:rsid w:val="00F76C64"/>
    <w:rsid w:val="00FD53E6"/>
    <w:rsid w:val="00FE20D8"/>
    <w:rsid w:val="00FF63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2CD3"/>
    <w:rPr>
      <w:rFonts w:ascii="Arial" w:hAnsi="Arial"/>
      <w:sz w:val="24"/>
    </w:rPr>
  </w:style>
  <w:style w:type="paragraph" w:styleId="Heading1">
    <w:name w:val="heading 1"/>
    <w:basedOn w:val="Normal"/>
    <w:next w:val="Normal"/>
    <w:link w:val="Heading1Char"/>
    <w:uiPriority w:val="9"/>
    <w:qFormat/>
    <w:rsid w:val="007B2CD3"/>
    <w:pPr>
      <w:keepNext/>
      <w:outlineLvl w:val="0"/>
    </w:pPr>
    <w:rPr>
      <w:b/>
    </w:rPr>
  </w:style>
  <w:style w:type="paragraph" w:styleId="Heading5">
    <w:name w:val="heading 5"/>
    <w:basedOn w:val="Normal"/>
    <w:next w:val="Normal"/>
    <w:link w:val="Heading5Char"/>
    <w:uiPriority w:val="9"/>
    <w:qFormat/>
    <w:rsid w:val="007B2CD3"/>
    <w:pPr>
      <w:keepNext/>
      <w:outlineLvl w:val="4"/>
    </w:pPr>
    <w:rPr>
      <w:rFonts w:ascii="Univers" w:hAnsi="Univers"/>
      <w:b/>
      <w:u w:val="single"/>
    </w:rPr>
  </w:style>
  <w:style w:type="paragraph" w:styleId="Heading6">
    <w:name w:val="heading 6"/>
    <w:basedOn w:val="Normal"/>
    <w:next w:val="Normal"/>
    <w:link w:val="Heading6Char"/>
    <w:uiPriority w:val="9"/>
    <w:qFormat/>
    <w:rsid w:val="007B2CD3"/>
    <w:pPr>
      <w:keepNext/>
      <w:outlineLvl w:val="5"/>
    </w:pPr>
    <w:rPr>
      <w:rFonts w:ascii="Univers" w:hAnsi="Univers"/>
      <w:b/>
    </w:rPr>
  </w:style>
  <w:style w:type="paragraph" w:styleId="Heading7">
    <w:name w:val="heading 7"/>
    <w:basedOn w:val="Normal"/>
    <w:next w:val="Normal"/>
    <w:link w:val="Heading7Char"/>
    <w:uiPriority w:val="9"/>
    <w:qFormat/>
    <w:rsid w:val="007B2CD3"/>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CD3"/>
    <w:rPr>
      <w:rFonts w:asciiTheme="majorHAnsi" w:eastAsiaTheme="majorEastAsia" w:hAnsiTheme="majorHAnsi" w:cstheme="majorBidi"/>
      <w:b/>
      <w:bCs/>
      <w:kern w:val="32"/>
      <w:sz w:val="32"/>
      <w:szCs w:val="32"/>
    </w:rPr>
  </w:style>
  <w:style w:type="character" w:customStyle="1" w:styleId="Heading5Char">
    <w:name w:val="Heading 5 Char"/>
    <w:basedOn w:val="DefaultParagraphFont"/>
    <w:link w:val="Heading5"/>
    <w:uiPriority w:val="9"/>
    <w:semiHidden/>
    <w:rsid w:val="007B2CD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B2CD3"/>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7B2CD3"/>
    <w:rPr>
      <w:rFonts w:asciiTheme="minorHAnsi" w:eastAsiaTheme="minorEastAsia" w:hAnsiTheme="minorHAnsi" w:cstheme="minorBidi"/>
      <w:sz w:val="24"/>
      <w:szCs w:val="24"/>
    </w:rPr>
  </w:style>
  <w:style w:type="paragraph" w:styleId="Header">
    <w:name w:val="header"/>
    <w:basedOn w:val="Normal"/>
    <w:link w:val="HeaderChar"/>
    <w:uiPriority w:val="99"/>
    <w:rsid w:val="007B2CD3"/>
  </w:style>
  <w:style w:type="character" w:customStyle="1" w:styleId="HeaderChar">
    <w:name w:val="Header Char"/>
    <w:basedOn w:val="DefaultParagraphFont"/>
    <w:link w:val="Header"/>
    <w:uiPriority w:val="99"/>
    <w:semiHidden/>
    <w:rsid w:val="007B2CD3"/>
    <w:rPr>
      <w:rFonts w:ascii="Arial" w:hAnsi="Arial"/>
      <w:sz w:val="24"/>
    </w:rPr>
  </w:style>
  <w:style w:type="paragraph" w:customStyle="1" w:styleId="arial11">
    <w:name w:val="arial11"/>
    <w:basedOn w:val="Normal"/>
    <w:rsid w:val="007B2CD3"/>
  </w:style>
  <w:style w:type="paragraph" w:styleId="BodyText">
    <w:name w:val="Body Text"/>
    <w:basedOn w:val="Normal"/>
    <w:link w:val="BodyTextChar"/>
    <w:uiPriority w:val="99"/>
    <w:rsid w:val="007B2CD3"/>
  </w:style>
  <w:style w:type="character" w:customStyle="1" w:styleId="BodyTextChar">
    <w:name w:val="Body Text Char"/>
    <w:basedOn w:val="DefaultParagraphFont"/>
    <w:link w:val="BodyText"/>
    <w:uiPriority w:val="99"/>
    <w:semiHidden/>
    <w:rsid w:val="007B2CD3"/>
    <w:rPr>
      <w:rFonts w:ascii="Arial" w:hAnsi="Arial"/>
      <w:sz w:val="24"/>
    </w:rPr>
  </w:style>
  <w:style w:type="paragraph" w:styleId="Footer">
    <w:name w:val="footer"/>
    <w:basedOn w:val="Normal"/>
    <w:link w:val="FooterChar"/>
    <w:rsid w:val="007B2CD3"/>
    <w:pPr>
      <w:tabs>
        <w:tab w:val="center" w:pos="4153"/>
        <w:tab w:val="right" w:pos="8306"/>
      </w:tabs>
    </w:pPr>
  </w:style>
  <w:style w:type="character" w:customStyle="1" w:styleId="FooterChar">
    <w:name w:val="Footer Char"/>
    <w:basedOn w:val="DefaultParagraphFont"/>
    <w:link w:val="Footer"/>
    <w:locked/>
    <w:rsid w:val="009E0FB1"/>
    <w:rPr>
      <w:rFonts w:ascii="Arial" w:hAnsi="Arial" w:cs="Times New Roman"/>
      <w:sz w:val="24"/>
    </w:rPr>
  </w:style>
  <w:style w:type="character" w:styleId="PageNumber">
    <w:name w:val="page number"/>
    <w:basedOn w:val="DefaultParagraphFont"/>
    <w:uiPriority w:val="99"/>
    <w:rsid w:val="007B2CD3"/>
    <w:rPr>
      <w:rFonts w:cs="Times New Roman"/>
    </w:rPr>
  </w:style>
  <w:style w:type="paragraph" w:styleId="BalloonText">
    <w:name w:val="Balloon Text"/>
    <w:basedOn w:val="Normal"/>
    <w:link w:val="BalloonTextChar"/>
    <w:uiPriority w:val="99"/>
    <w:semiHidden/>
    <w:rsid w:val="00357954"/>
    <w:rPr>
      <w:rFonts w:ascii="Tahoma" w:hAnsi="Tahoma" w:cs="Tahoma"/>
      <w:sz w:val="16"/>
      <w:szCs w:val="16"/>
    </w:rPr>
  </w:style>
  <w:style w:type="character" w:customStyle="1" w:styleId="BalloonTextChar">
    <w:name w:val="Balloon Text Char"/>
    <w:basedOn w:val="DefaultParagraphFont"/>
    <w:link w:val="BalloonText"/>
    <w:uiPriority w:val="99"/>
    <w:semiHidden/>
    <w:rsid w:val="007B2CD3"/>
    <w:rPr>
      <w:rFonts w:ascii="Tahoma" w:hAnsi="Tahoma" w:cs="Tahoma"/>
      <w:sz w:val="16"/>
      <w:szCs w:val="16"/>
    </w:rPr>
  </w:style>
  <w:style w:type="paragraph" w:customStyle="1" w:styleId="Numpara">
    <w:name w:val="Numpara"/>
    <w:basedOn w:val="Normal"/>
    <w:rsid w:val="0069468C"/>
    <w:pPr>
      <w:numPr>
        <w:numId w:val="3"/>
      </w:numPr>
      <w:spacing w:before="40" w:after="120"/>
    </w:pPr>
    <w:rPr>
      <w:rFonts w:ascii="Times New Roman" w:hAnsi="Times New Roman"/>
      <w:szCs w:val="24"/>
      <w:lang w:eastAsia="en-US"/>
    </w:rPr>
  </w:style>
  <w:style w:type="table" w:styleId="TableGrid">
    <w:name w:val="Table Grid"/>
    <w:basedOn w:val="TableNormal"/>
    <w:uiPriority w:val="59"/>
    <w:rsid w:val="005F64CF"/>
    <w:rPr>
      <w:rFonts w:ascii="Arial" w:hAnsi="Arial"/>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C0D05"/>
    <w:pPr>
      <w:ind w:left="720"/>
    </w:pPr>
    <w:rPr>
      <w:rFonts w:ascii="Times New Roman" w:hAnsi="Times New Roman"/>
      <w:szCs w:val="24"/>
      <w:lang w:eastAsia="en-US"/>
    </w:rPr>
  </w:style>
  <w:style w:type="paragraph" w:customStyle="1" w:styleId="Instructiontext">
    <w:name w:val="Instruction text"/>
    <w:basedOn w:val="Normal"/>
    <w:uiPriority w:val="2"/>
    <w:rsid w:val="00BF2008"/>
    <w:pPr>
      <w:autoSpaceDE w:val="0"/>
      <w:autoSpaceDN w:val="0"/>
      <w:jc w:val="both"/>
    </w:pPr>
    <w:rPr>
      <w:rFonts w:cs="Arial"/>
      <w:i/>
      <w:iCs/>
      <w:color w:val="FF0000"/>
      <w:sz w:val="22"/>
      <w:szCs w:val="22"/>
    </w:rPr>
  </w:style>
  <w:style w:type="paragraph" w:styleId="NormalWeb">
    <w:name w:val="Normal (Web)"/>
    <w:basedOn w:val="Normal"/>
    <w:uiPriority w:val="99"/>
    <w:unhideWhenUsed/>
    <w:rsid w:val="00DE2E7D"/>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DE2E7D"/>
    <w:rPr>
      <w:rFonts w:cs="Times New Roman"/>
      <w:b/>
      <w:bCs/>
    </w:rPr>
  </w:style>
  <w:style w:type="character" w:styleId="Hyperlink">
    <w:name w:val="Hyperlink"/>
    <w:basedOn w:val="DefaultParagraphFont"/>
    <w:uiPriority w:val="99"/>
    <w:unhideWhenUsed/>
    <w:rsid w:val="00DE2E7D"/>
    <w:rPr>
      <w:rFonts w:cs="Times New Roman"/>
      <w:color w:val="0000FF"/>
      <w:u w:val="single"/>
    </w:rPr>
  </w:style>
  <w:style w:type="character" w:styleId="CommentReference">
    <w:name w:val="annotation reference"/>
    <w:basedOn w:val="DefaultParagraphFont"/>
    <w:uiPriority w:val="99"/>
    <w:rsid w:val="00AC32EB"/>
    <w:rPr>
      <w:rFonts w:cs="Times New Roman"/>
      <w:sz w:val="16"/>
      <w:szCs w:val="16"/>
    </w:rPr>
  </w:style>
  <w:style w:type="paragraph" w:styleId="CommentText">
    <w:name w:val="annotation text"/>
    <w:basedOn w:val="Normal"/>
    <w:link w:val="CommentTextChar"/>
    <w:uiPriority w:val="99"/>
    <w:rsid w:val="00AC32EB"/>
    <w:rPr>
      <w:sz w:val="20"/>
    </w:rPr>
  </w:style>
  <w:style w:type="character" w:customStyle="1" w:styleId="CommentTextChar">
    <w:name w:val="Comment Text Char"/>
    <w:basedOn w:val="DefaultParagraphFont"/>
    <w:link w:val="CommentText"/>
    <w:uiPriority w:val="99"/>
    <w:locked/>
    <w:rsid w:val="00AC32EB"/>
    <w:rPr>
      <w:rFonts w:ascii="Arial" w:hAnsi="Arial" w:cs="Times New Roman"/>
    </w:rPr>
  </w:style>
  <w:style w:type="paragraph" w:styleId="CommentSubject">
    <w:name w:val="annotation subject"/>
    <w:basedOn w:val="CommentText"/>
    <w:next w:val="CommentText"/>
    <w:link w:val="CommentSubjectChar"/>
    <w:uiPriority w:val="99"/>
    <w:rsid w:val="00AC32EB"/>
    <w:rPr>
      <w:b/>
      <w:bCs/>
    </w:rPr>
  </w:style>
  <w:style w:type="character" w:customStyle="1" w:styleId="CommentSubjectChar">
    <w:name w:val="Comment Subject Char"/>
    <w:basedOn w:val="CommentTextChar"/>
    <w:link w:val="CommentSubject"/>
    <w:uiPriority w:val="99"/>
    <w:locked/>
    <w:rsid w:val="00AC32EB"/>
    <w:rPr>
      <w:b/>
      <w:bCs/>
    </w:rPr>
  </w:style>
  <w:style w:type="paragraph" w:customStyle="1" w:styleId="Default">
    <w:name w:val="Default"/>
    <w:rsid w:val="00185ED2"/>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654DC"/>
    <w:rPr>
      <w:color w:val="800080" w:themeColor="followedHyperlink"/>
      <w:u w:val="single"/>
    </w:rPr>
  </w:style>
  <w:style w:type="paragraph" w:styleId="PlainText">
    <w:name w:val="Plain Text"/>
    <w:basedOn w:val="Normal"/>
    <w:link w:val="PlainTextChar"/>
    <w:uiPriority w:val="99"/>
    <w:unhideWhenUsed/>
    <w:rsid w:val="002B6D41"/>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2B6D41"/>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168494588">
      <w:bodyDiv w:val="1"/>
      <w:marLeft w:val="0"/>
      <w:marRight w:val="0"/>
      <w:marTop w:val="0"/>
      <w:marBottom w:val="0"/>
      <w:divBdr>
        <w:top w:val="none" w:sz="0" w:space="0" w:color="auto"/>
        <w:left w:val="none" w:sz="0" w:space="0" w:color="auto"/>
        <w:bottom w:val="none" w:sz="0" w:space="0" w:color="auto"/>
        <w:right w:val="none" w:sz="0" w:space="0" w:color="auto"/>
      </w:divBdr>
    </w:div>
    <w:div w:id="205601258">
      <w:bodyDiv w:val="1"/>
      <w:marLeft w:val="0"/>
      <w:marRight w:val="0"/>
      <w:marTop w:val="0"/>
      <w:marBottom w:val="0"/>
      <w:divBdr>
        <w:top w:val="none" w:sz="0" w:space="0" w:color="auto"/>
        <w:left w:val="none" w:sz="0" w:space="0" w:color="auto"/>
        <w:bottom w:val="none" w:sz="0" w:space="0" w:color="auto"/>
        <w:right w:val="none" w:sz="0" w:space="0" w:color="auto"/>
      </w:divBdr>
      <w:divsChild>
        <w:div w:id="71008155">
          <w:marLeft w:val="0"/>
          <w:marRight w:val="0"/>
          <w:marTop w:val="0"/>
          <w:marBottom w:val="0"/>
          <w:divBdr>
            <w:top w:val="none" w:sz="0" w:space="0" w:color="auto"/>
            <w:left w:val="none" w:sz="0" w:space="0" w:color="auto"/>
            <w:bottom w:val="none" w:sz="0" w:space="0" w:color="auto"/>
            <w:right w:val="none" w:sz="0" w:space="0" w:color="auto"/>
          </w:divBdr>
          <w:divsChild>
            <w:div w:id="36746070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98537194">
      <w:marLeft w:val="0"/>
      <w:marRight w:val="0"/>
      <w:marTop w:val="0"/>
      <w:marBottom w:val="0"/>
      <w:divBdr>
        <w:top w:val="none" w:sz="0" w:space="0" w:color="auto"/>
        <w:left w:val="none" w:sz="0" w:space="0" w:color="auto"/>
        <w:bottom w:val="none" w:sz="0" w:space="0" w:color="auto"/>
        <w:right w:val="none" w:sz="0" w:space="0" w:color="auto"/>
      </w:divBdr>
    </w:div>
    <w:div w:id="998537195">
      <w:marLeft w:val="0"/>
      <w:marRight w:val="0"/>
      <w:marTop w:val="0"/>
      <w:marBottom w:val="0"/>
      <w:divBdr>
        <w:top w:val="none" w:sz="0" w:space="0" w:color="auto"/>
        <w:left w:val="none" w:sz="0" w:space="0" w:color="auto"/>
        <w:bottom w:val="none" w:sz="0" w:space="0" w:color="auto"/>
        <w:right w:val="none" w:sz="0" w:space="0" w:color="auto"/>
      </w:divBdr>
    </w:div>
    <w:div w:id="998537196">
      <w:marLeft w:val="0"/>
      <w:marRight w:val="0"/>
      <w:marTop w:val="0"/>
      <w:marBottom w:val="0"/>
      <w:divBdr>
        <w:top w:val="none" w:sz="0" w:space="0" w:color="auto"/>
        <w:left w:val="none" w:sz="0" w:space="0" w:color="auto"/>
        <w:bottom w:val="none" w:sz="0" w:space="0" w:color="auto"/>
        <w:right w:val="none" w:sz="0" w:space="0" w:color="auto"/>
      </w:divBdr>
      <w:divsChild>
        <w:div w:id="998537202">
          <w:marLeft w:val="0"/>
          <w:marRight w:val="0"/>
          <w:marTop w:val="0"/>
          <w:marBottom w:val="0"/>
          <w:divBdr>
            <w:top w:val="none" w:sz="0" w:space="0" w:color="auto"/>
            <w:left w:val="none" w:sz="0" w:space="0" w:color="auto"/>
            <w:bottom w:val="none" w:sz="0" w:space="0" w:color="auto"/>
            <w:right w:val="none" w:sz="0" w:space="0" w:color="auto"/>
          </w:divBdr>
          <w:divsChild>
            <w:div w:id="998537203">
              <w:marLeft w:val="0"/>
              <w:marRight w:val="0"/>
              <w:marTop w:val="0"/>
              <w:marBottom w:val="0"/>
              <w:divBdr>
                <w:top w:val="none" w:sz="0" w:space="0" w:color="auto"/>
                <w:left w:val="none" w:sz="0" w:space="0" w:color="auto"/>
                <w:bottom w:val="none" w:sz="0" w:space="0" w:color="auto"/>
                <w:right w:val="none" w:sz="0" w:space="0" w:color="auto"/>
              </w:divBdr>
              <w:divsChild>
                <w:div w:id="99853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37198">
      <w:marLeft w:val="0"/>
      <w:marRight w:val="0"/>
      <w:marTop w:val="0"/>
      <w:marBottom w:val="0"/>
      <w:divBdr>
        <w:top w:val="none" w:sz="0" w:space="0" w:color="auto"/>
        <w:left w:val="none" w:sz="0" w:space="0" w:color="auto"/>
        <w:bottom w:val="none" w:sz="0" w:space="0" w:color="auto"/>
        <w:right w:val="none" w:sz="0" w:space="0" w:color="auto"/>
      </w:divBdr>
    </w:div>
    <w:div w:id="998537199">
      <w:marLeft w:val="0"/>
      <w:marRight w:val="0"/>
      <w:marTop w:val="0"/>
      <w:marBottom w:val="0"/>
      <w:divBdr>
        <w:top w:val="none" w:sz="0" w:space="0" w:color="auto"/>
        <w:left w:val="none" w:sz="0" w:space="0" w:color="auto"/>
        <w:bottom w:val="none" w:sz="0" w:space="0" w:color="auto"/>
        <w:right w:val="none" w:sz="0" w:space="0" w:color="auto"/>
      </w:divBdr>
    </w:div>
    <w:div w:id="998537200">
      <w:marLeft w:val="0"/>
      <w:marRight w:val="0"/>
      <w:marTop w:val="0"/>
      <w:marBottom w:val="0"/>
      <w:divBdr>
        <w:top w:val="none" w:sz="0" w:space="0" w:color="auto"/>
        <w:left w:val="none" w:sz="0" w:space="0" w:color="auto"/>
        <w:bottom w:val="none" w:sz="0" w:space="0" w:color="auto"/>
        <w:right w:val="none" w:sz="0" w:space="0" w:color="auto"/>
      </w:divBdr>
    </w:div>
    <w:div w:id="998537201">
      <w:marLeft w:val="0"/>
      <w:marRight w:val="0"/>
      <w:marTop w:val="0"/>
      <w:marBottom w:val="0"/>
      <w:divBdr>
        <w:top w:val="none" w:sz="0" w:space="0" w:color="auto"/>
        <w:left w:val="none" w:sz="0" w:space="0" w:color="auto"/>
        <w:bottom w:val="none" w:sz="0" w:space="0" w:color="auto"/>
        <w:right w:val="none" w:sz="0" w:space="0" w:color="auto"/>
      </w:divBdr>
    </w:div>
    <w:div w:id="1079715476">
      <w:bodyDiv w:val="1"/>
      <w:marLeft w:val="0"/>
      <w:marRight w:val="0"/>
      <w:marTop w:val="0"/>
      <w:marBottom w:val="0"/>
      <w:divBdr>
        <w:top w:val="none" w:sz="0" w:space="0" w:color="auto"/>
        <w:left w:val="none" w:sz="0" w:space="0" w:color="auto"/>
        <w:bottom w:val="none" w:sz="0" w:space="0" w:color="auto"/>
        <w:right w:val="none" w:sz="0" w:space="0" w:color="auto"/>
      </w:divBdr>
    </w:div>
    <w:div w:id="1923417851">
      <w:bodyDiv w:val="1"/>
      <w:marLeft w:val="0"/>
      <w:marRight w:val="0"/>
      <w:marTop w:val="0"/>
      <w:marBottom w:val="0"/>
      <w:divBdr>
        <w:top w:val="none" w:sz="0" w:space="0" w:color="auto"/>
        <w:left w:val="none" w:sz="0" w:space="0" w:color="auto"/>
        <w:bottom w:val="none" w:sz="0" w:space="0" w:color="auto"/>
        <w:right w:val="none" w:sz="0" w:space="0" w:color="auto"/>
      </w:divBdr>
    </w:div>
    <w:div w:id="193123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ane.lister@lancashir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ations.parliament.uk/pa/bills/cbill/2012-2013/0070/cbill_2012-20130070_en_1.ht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194B6-DF4D-4062-812D-EB47CE778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Template>
  <TotalTime>7</TotalTime>
  <Pages>4</Pages>
  <Words>1147</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LGPS 2014 Proposals June 2012</vt:lpstr>
    </vt:vector>
  </TitlesOfParts>
  <Company> </Company>
  <LinksUpToDate>false</LinksUpToDate>
  <CharactersWithSpaces>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2014 Proposals June 2012</dc:title>
  <dc:subject/>
  <dc:creator>Lancashire Council</dc:creator>
  <cp:keywords>Council meetings;Government, politics and public administration; Local government; Decision making; Council meetings;</cp:keywords>
  <dc:description>August 2009</dc:description>
  <cp:lastModifiedBy>User</cp:lastModifiedBy>
  <cp:revision>4</cp:revision>
  <cp:lastPrinted>2002-09-23T11:55:00Z</cp:lastPrinted>
  <dcterms:created xsi:type="dcterms:W3CDTF">2012-11-14T10:45:00Z</dcterms:created>
  <dcterms:modified xsi:type="dcterms:W3CDTF">2012-11-14T12:25:00Z</dcterms:modified>
</cp:coreProperties>
</file>